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95" w:rsidRPr="000E6F7B" w:rsidRDefault="008A4CE3">
      <w:pPr>
        <w:rPr>
          <w:b/>
        </w:rPr>
      </w:pPr>
      <w:r w:rsidRPr="000E6F7B">
        <w:rPr>
          <w:b/>
        </w:rPr>
        <w:t>Succession Planning in Government: Why it is still relevant</w:t>
      </w:r>
    </w:p>
    <w:p w:rsidR="000E6F7B" w:rsidRDefault="008A4CE3">
      <w:r>
        <w:t>Nearly ten years ago, we first hear</w:t>
      </w:r>
      <w:r w:rsidR="00D04C42">
        <w:t>d</w:t>
      </w:r>
      <w:r>
        <w:t xml:space="preserve"> about succession planning in government</w:t>
      </w:r>
      <w:r w:rsidR="00B12888">
        <w:t xml:space="preserve">. </w:t>
      </w:r>
      <w:r>
        <w:t>In anticipation of massive Baby Boomer retirements, human resource practitioners were advocating for organizations to consider how to manage this impending knowledge drain</w:t>
      </w:r>
      <w:r w:rsidR="00B12888">
        <w:t xml:space="preserve">. </w:t>
      </w:r>
      <w:r>
        <w:t>In fact, one study found that only 13 percent of today’s local government managers are under 40</w:t>
      </w:r>
      <w:r w:rsidR="00D04C42">
        <w:t>,</w:t>
      </w:r>
      <w:r>
        <w:t xml:space="preserve"> while nearly 71 percent were under 40 in the early 1970s (Henderson, 2008).</w:t>
      </w:r>
      <w:r w:rsidR="000E6F7B">
        <w:t xml:space="preserve"> When the current economic crisis hit, focus shifted from managing the future to </w:t>
      </w:r>
      <w:r w:rsidR="00B12888">
        <w:t>managing</w:t>
      </w:r>
      <w:r w:rsidR="000E6F7B">
        <w:t xml:space="preserve"> current resources and </w:t>
      </w:r>
      <w:r w:rsidR="00B12888">
        <w:t>dealing</w:t>
      </w:r>
      <w:r w:rsidR="000E6F7B">
        <w:t xml:space="preserve"> with the reduction in revenue streams</w:t>
      </w:r>
      <w:r w:rsidR="00B12888">
        <w:t xml:space="preserve">. </w:t>
      </w:r>
      <w:r w:rsidR="000E6F7B">
        <w:t xml:space="preserve"> This does not mean government doesn’t have an impending crisis; it means we need to rethink succession planning and how it can be managed in a constrained environment. In this article we begin to explore why succession planning is still an issue (and possibly a greater issue than it was </w:t>
      </w:r>
      <w:r w:rsidR="00D04C42">
        <w:t>ten</w:t>
      </w:r>
      <w:r w:rsidR="000E6F7B">
        <w:t xml:space="preserve"> years ago) and how governments can begin to address the issue without significant financial investment.</w:t>
      </w:r>
    </w:p>
    <w:p w:rsidR="00B8333F" w:rsidRDefault="00B8333F">
      <w:pPr>
        <w:rPr>
          <w:u w:val="single"/>
        </w:rPr>
      </w:pPr>
      <w:r>
        <w:rPr>
          <w:u w:val="single"/>
        </w:rPr>
        <w:t>Workforce Issues in the Public Sector</w:t>
      </w:r>
    </w:p>
    <w:p w:rsidR="00B8333F" w:rsidRPr="00B8333F" w:rsidRDefault="00B8333F">
      <w:r>
        <w:t>The good news is that there are an increasing number of postponed retirements</w:t>
      </w:r>
      <w:r w:rsidR="00B12888">
        <w:t xml:space="preserve">, providing </w:t>
      </w:r>
      <w:r>
        <w:t>governments a little bit of breathing room for planning purposes</w:t>
      </w:r>
      <w:r w:rsidR="00B12888">
        <w:t xml:space="preserve">. </w:t>
      </w:r>
      <w:r>
        <w:t>The Center for State and Local Government Excellence (SLGE) reported in a recent survey that 40.2</w:t>
      </w:r>
      <w:r w:rsidR="00D04C42">
        <w:t xml:space="preserve"> percent</w:t>
      </w:r>
      <w:r>
        <w:t xml:space="preserve"> of survey respondents have postponed their retirement plans as a result of The Great Recession (SLGE, 2011)</w:t>
      </w:r>
      <w:r w:rsidR="00B12888">
        <w:t xml:space="preserve">. </w:t>
      </w:r>
      <w:r>
        <w:t>This allows managers to extend their timelines for the development of workforce and succession plans. However, The Great Recession has impacted the capacity of state and local governments to conduct these activities</w:t>
      </w:r>
      <w:r w:rsidR="00B12888">
        <w:t xml:space="preserve">. </w:t>
      </w:r>
    </w:p>
    <w:p w:rsidR="000E6F7B" w:rsidRDefault="00781CEA">
      <w:r>
        <w:t>In 2009 The International Public Management Association for Human Resources (IPMA-HR) conducted a Benchmarking survey on workforce and succession planning</w:t>
      </w:r>
      <w:r w:rsidR="00B12888">
        <w:t>. O</w:t>
      </w:r>
      <w:r>
        <w:t>nly 25</w:t>
      </w:r>
      <w:r w:rsidR="00D04C42">
        <w:t xml:space="preserve"> percent</w:t>
      </w:r>
      <w:r>
        <w:t xml:space="preserve"> of respondents reported having a formal workforce/succession plan in place</w:t>
      </w:r>
      <w:r w:rsidR="00B12888">
        <w:t>. T</w:t>
      </w:r>
      <w:r>
        <w:t>hose that did</w:t>
      </w:r>
      <w:r w:rsidR="00D04C42">
        <w:t xml:space="preserve"> not</w:t>
      </w:r>
      <w:r>
        <w:t xml:space="preserve"> cited insufficient staff (67</w:t>
      </w:r>
      <w:r w:rsidR="00D04C42">
        <w:t xml:space="preserve"> percent</w:t>
      </w:r>
      <w:r>
        <w:t>) and preoccupation (64</w:t>
      </w:r>
      <w:r w:rsidR="00B12888">
        <w:t xml:space="preserve"> </w:t>
      </w:r>
      <w:r w:rsidR="00D04C42">
        <w:t>percent</w:t>
      </w:r>
      <w:r>
        <w:t>) with short</w:t>
      </w:r>
      <w:r w:rsidR="00B12888">
        <w:t>-</w:t>
      </w:r>
      <w:r>
        <w:t>term activities (IPMA – HR, 2009).</w:t>
      </w:r>
      <w:r w:rsidR="005F2A8D">
        <w:t xml:space="preserve"> While the survey has not been updated since 2009, we would argue that even more municipalities </w:t>
      </w:r>
      <w:r w:rsidR="00B014BC">
        <w:t>have become</w:t>
      </w:r>
      <w:r w:rsidR="005F2A8D">
        <w:t xml:space="preserve"> preoccupied with short</w:t>
      </w:r>
      <w:r w:rsidR="00B12888">
        <w:t>-</w:t>
      </w:r>
      <w:r w:rsidR="005F2A8D">
        <w:t xml:space="preserve">term activities, further diluting the number of jurisdictions undertaking </w:t>
      </w:r>
      <w:r w:rsidR="00B12888">
        <w:t xml:space="preserve">workforce development and succession </w:t>
      </w:r>
      <w:r w:rsidR="005F2A8D">
        <w:t>initiatives.</w:t>
      </w:r>
    </w:p>
    <w:p w:rsidR="00B12888" w:rsidRDefault="00B014BC">
      <w:r>
        <w:t xml:space="preserve">Complicating the situation is the recent change in </w:t>
      </w:r>
      <w:r w:rsidR="00E90D8E">
        <w:t>the perception of job security in government employment</w:t>
      </w:r>
      <w:r w:rsidR="00B12888">
        <w:t>. No</w:t>
      </w:r>
      <w:r w:rsidR="00E90D8E">
        <w:t xml:space="preserve"> formal studies </w:t>
      </w:r>
      <w:r w:rsidR="00B12888">
        <w:t xml:space="preserve">have </w:t>
      </w:r>
      <w:r w:rsidR="00E90D8E">
        <w:t>examin</w:t>
      </w:r>
      <w:r w:rsidR="00B12888">
        <w:t>ed</w:t>
      </w:r>
      <w:r w:rsidR="00E90D8E">
        <w:t xml:space="preserve"> this</w:t>
      </w:r>
      <w:r w:rsidR="00B12888">
        <w:t xml:space="preserve">, but </w:t>
      </w:r>
      <w:r w:rsidR="00E90D8E">
        <w:t>we expect that recent events</w:t>
      </w:r>
      <w:r w:rsidR="00B12888">
        <w:t>—</w:t>
      </w:r>
      <w:r w:rsidR="00E90D8E">
        <w:t xml:space="preserve">the movements to limit bargaining rights of governmental employees, </w:t>
      </w:r>
      <w:r w:rsidR="00CC3D9A">
        <w:t xml:space="preserve">pension reforms, </w:t>
      </w:r>
      <w:r w:rsidR="00E90D8E">
        <w:t xml:space="preserve">reduced local </w:t>
      </w:r>
      <w:r w:rsidR="00CC3D9A">
        <w:t>revenues, an overall compression of the workforce</w:t>
      </w:r>
      <w:r w:rsidR="00B12888">
        <w:t>—</w:t>
      </w:r>
      <w:r w:rsidR="00CC3D9A">
        <w:t>have further distracted government executives from workforce and succession planning</w:t>
      </w:r>
      <w:r w:rsidR="00B12888">
        <w:t xml:space="preserve">. </w:t>
      </w:r>
    </w:p>
    <w:p w:rsidR="00B014BC" w:rsidRDefault="00CC3D9A">
      <w:r>
        <w:t xml:space="preserve">In an era of doing more with less, how do HR managers deal with the situation?  </w:t>
      </w:r>
    </w:p>
    <w:p w:rsidR="00B90204" w:rsidRDefault="00B90204">
      <w:pPr>
        <w:rPr>
          <w:u w:val="single"/>
        </w:rPr>
      </w:pPr>
      <w:r>
        <w:rPr>
          <w:u w:val="single"/>
        </w:rPr>
        <w:t>Why Succession/Workforce Planning?</w:t>
      </w:r>
    </w:p>
    <w:p w:rsidR="00B90204" w:rsidRDefault="00B90204">
      <w:r w:rsidRPr="00B90204">
        <w:t xml:space="preserve">The need for having a pipeline of talent in place, and the practical </w:t>
      </w:r>
      <w:r>
        <w:t>desire</w:t>
      </w:r>
      <w:r w:rsidRPr="00B90204">
        <w:t xml:space="preserve"> for workforce and succession planning, regardless of the size of the organization, </w:t>
      </w:r>
      <w:r w:rsidR="00B12888">
        <w:t>are</w:t>
      </w:r>
      <w:r w:rsidR="00B12888" w:rsidRPr="00B90204">
        <w:t xml:space="preserve"> </w:t>
      </w:r>
      <w:r>
        <w:t>critical to sustained and uninterrupted service levels in government</w:t>
      </w:r>
      <w:r w:rsidR="00B12888">
        <w:t xml:space="preserve">. </w:t>
      </w:r>
      <w:r w:rsidRPr="00B90204">
        <w:t>Succession and workforce planning present an opportunity to proactively identify and plan for staffing, training</w:t>
      </w:r>
      <w:r w:rsidR="00D04C42">
        <w:t>,</w:t>
      </w:r>
      <w:r w:rsidRPr="00B90204">
        <w:t xml:space="preserve"> and knowledge needs</w:t>
      </w:r>
      <w:r w:rsidR="00B12888">
        <w:t xml:space="preserve">. </w:t>
      </w:r>
      <w:r w:rsidRPr="00B90204">
        <w:t xml:space="preserve">Doing so allows </w:t>
      </w:r>
      <w:r>
        <w:t>an organization</w:t>
      </w:r>
      <w:r w:rsidRPr="00B90204">
        <w:t xml:space="preserve"> to predict where </w:t>
      </w:r>
      <w:r w:rsidRPr="00B90204">
        <w:lastRenderedPageBreak/>
        <w:t>critical needs are in the organization, providing the necessary time to adjust programs, training</w:t>
      </w:r>
      <w:r w:rsidR="00B12888">
        <w:t>,</w:t>
      </w:r>
      <w:r w:rsidRPr="00B90204">
        <w:t xml:space="preserve"> and recruitment to meet these needs</w:t>
      </w:r>
      <w:r w:rsidR="00B12888">
        <w:t xml:space="preserve">. </w:t>
      </w:r>
      <w:r w:rsidRPr="00B90204">
        <w:t>This creates the nimble and flexible organization that is predicted to be critical to any organizations sustainability</w:t>
      </w:r>
      <w:r w:rsidR="00B12888">
        <w:t xml:space="preserve">. </w:t>
      </w:r>
      <w:r w:rsidRPr="00B90204">
        <w:t>An alignment of resources in an era of shrinking revenue levels ensures that the organization is operating as efficiently and effectively as possible</w:t>
      </w:r>
      <w:r>
        <w:t>.</w:t>
      </w:r>
    </w:p>
    <w:p w:rsidR="00B90204" w:rsidRPr="00B90204" w:rsidRDefault="00B90204">
      <w:r>
        <w:t xml:space="preserve">Last, </w:t>
      </w:r>
      <w:r w:rsidR="00D04C42">
        <w:t>r</w:t>
      </w:r>
      <w:r w:rsidRPr="00B90204">
        <w:t>esearch shows that organizations with an integrated rather than just-in-time approach to succession management experience higher retention rates, increased employee morale, and an environment that stimulates innovation and organizational change</w:t>
      </w:r>
      <w:r>
        <w:t xml:space="preserve"> (CPS Human Resources, 2005)</w:t>
      </w:r>
      <w:r w:rsidRPr="00B90204">
        <w:t>.</w:t>
      </w:r>
    </w:p>
    <w:p w:rsidR="00B8333F" w:rsidRDefault="00B8333F">
      <w:pPr>
        <w:rPr>
          <w:u w:val="single"/>
        </w:rPr>
      </w:pPr>
      <w:r>
        <w:rPr>
          <w:u w:val="single"/>
        </w:rPr>
        <w:t>Adopting a Lean Framework for Succession Planning in Government</w:t>
      </w:r>
    </w:p>
    <w:p w:rsidR="00B00DD6" w:rsidRDefault="00B8333F">
      <w:r>
        <w:t>Baker Tilly’s State and Local Government Consulting team has been working with state and local government agencies to maximize resources</w:t>
      </w:r>
      <w:r w:rsidR="00B90204">
        <w:t xml:space="preserve"> while maintaining or increasing service level expectations</w:t>
      </w:r>
      <w:r w:rsidR="00B12888">
        <w:t xml:space="preserve">. </w:t>
      </w:r>
      <w:r w:rsidR="00B90204">
        <w:t>As part of these efforts, we have been working with governments to assist in their succession and workforce planning initiatives</w:t>
      </w:r>
      <w:r w:rsidR="00B12888">
        <w:t xml:space="preserve">. </w:t>
      </w:r>
      <w:r w:rsidR="00B90204">
        <w:t xml:space="preserve">The methodology that we advocate can be adopted by agencies </w:t>
      </w:r>
      <w:r w:rsidR="00B00DD6">
        <w:t>at a low cost to the organization</w:t>
      </w:r>
      <w:r w:rsidR="00B12888">
        <w:t xml:space="preserve">. </w:t>
      </w:r>
      <w:r w:rsidR="00B00DD6">
        <w:t xml:space="preserve">The following diagram summarizes our </w:t>
      </w:r>
      <w:r w:rsidR="00D04C42">
        <w:t>five</w:t>
      </w:r>
      <w:r w:rsidR="00B12888">
        <w:t>-</w:t>
      </w:r>
      <w:r w:rsidR="00B00DD6">
        <w:t>step process:</w:t>
      </w:r>
      <w:r w:rsidR="00B00DD6" w:rsidRPr="00B00DD6">
        <w:rPr>
          <w:noProof/>
        </w:rPr>
        <w:drawing>
          <wp:inline distT="0" distB="0" distL="0" distR="0">
            <wp:extent cx="5877560" cy="1143000"/>
            <wp:effectExtent l="38100" t="0" r="889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B00DD6" w:rsidRDefault="00C651DA">
      <w:r>
        <w:t xml:space="preserve">To start, we recommend creating an oversight committee </w:t>
      </w:r>
      <w:r w:rsidR="00B12888">
        <w:t xml:space="preserve">that </w:t>
      </w:r>
      <w:r>
        <w:t>is responsible for resolving issues related to the development of a succession plan</w:t>
      </w:r>
      <w:r w:rsidR="00B12888">
        <w:t xml:space="preserve">. </w:t>
      </w:r>
      <w:r>
        <w:t>Typically, senior and middle managers representing the critical business areas of the organization would be on this committee</w:t>
      </w:r>
      <w:r w:rsidR="00B12888">
        <w:t xml:space="preserve">. </w:t>
      </w:r>
      <w:r>
        <w:t>These managers would then be responsible for reviewing all positions for the organization</w:t>
      </w:r>
      <w:r w:rsidR="00132605">
        <w:t xml:space="preserve"> as part of step one</w:t>
      </w:r>
      <w:r>
        <w:t>. This task is focused on two main issues: identifying the key leadership positions for the organization and identifying those positions that are critical to the mission and accomplishment of organization objectives.</w:t>
      </w:r>
      <w:r w:rsidR="00132605">
        <w:t xml:space="preserve"> These are the positions that your organization simply cannot live without</w:t>
      </w:r>
      <w:r w:rsidR="00B12888">
        <w:t xml:space="preserve">. </w:t>
      </w:r>
    </w:p>
    <w:p w:rsidR="00132605" w:rsidRDefault="00132605">
      <w:r>
        <w:t>After the positions that will be affected by succession planning have been identified, the team can begin to discuss the base competencies that the organization and staff need in order to successfully accomplish their objectives. Instead of re-creating the wheel, we encourage governments to utilize some of the frameworks that have already been established</w:t>
      </w:r>
      <w:r w:rsidR="00C32699">
        <w:t xml:space="preserve"> and modify them to meet your organization-specific needs</w:t>
      </w:r>
      <w:r w:rsidR="00B12888">
        <w:t xml:space="preserve">. </w:t>
      </w:r>
      <w:r>
        <w:t xml:space="preserve">The following chart provides </w:t>
      </w:r>
      <w:r w:rsidR="00B12888">
        <w:t xml:space="preserve">links to </w:t>
      </w:r>
      <w:r>
        <w:t>a sampling of some of these frameworks:</w:t>
      </w:r>
    </w:p>
    <w:tbl>
      <w:tblPr>
        <w:tblStyle w:val="TableGrid"/>
        <w:tblW w:w="0" w:type="auto"/>
        <w:jc w:val="center"/>
        <w:tblLook w:val="04A0"/>
      </w:tblPr>
      <w:tblGrid>
        <w:gridCol w:w="2470"/>
        <w:gridCol w:w="6643"/>
      </w:tblGrid>
      <w:tr w:rsidR="00132605" w:rsidRPr="00DE6021" w:rsidTr="00DE6021">
        <w:trPr>
          <w:jc w:val="center"/>
        </w:trPr>
        <w:tc>
          <w:tcPr>
            <w:tcW w:w="2470" w:type="dxa"/>
            <w:shd w:val="clear" w:color="auto" w:fill="548DD4" w:themeFill="text2" w:themeFillTint="99"/>
          </w:tcPr>
          <w:p w:rsidR="00132605" w:rsidRPr="00DE6021" w:rsidRDefault="00132605">
            <w:pPr>
              <w:rPr>
                <w:b/>
                <w:color w:val="FFFFFF" w:themeColor="background1"/>
              </w:rPr>
            </w:pPr>
            <w:r w:rsidRPr="00DE6021">
              <w:rPr>
                <w:b/>
                <w:color w:val="FFFFFF" w:themeColor="background1"/>
              </w:rPr>
              <w:t>Area of Focus</w:t>
            </w:r>
          </w:p>
        </w:tc>
        <w:tc>
          <w:tcPr>
            <w:tcW w:w="6643" w:type="dxa"/>
            <w:shd w:val="clear" w:color="auto" w:fill="548DD4" w:themeFill="text2" w:themeFillTint="99"/>
          </w:tcPr>
          <w:p w:rsidR="00132605" w:rsidRPr="00DE6021" w:rsidRDefault="00132605">
            <w:pPr>
              <w:rPr>
                <w:b/>
                <w:color w:val="FFFFFF" w:themeColor="background1"/>
              </w:rPr>
            </w:pPr>
            <w:r w:rsidRPr="00DE6021">
              <w:rPr>
                <w:b/>
                <w:color w:val="FFFFFF" w:themeColor="background1"/>
              </w:rPr>
              <w:t>Resource</w:t>
            </w:r>
          </w:p>
        </w:tc>
      </w:tr>
      <w:tr w:rsidR="00132605" w:rsidTr="00DE6021">
        <w:trPr>
          <w:jc w:val="center"/>
        </w:trPr>
        <w:tc>
          <w:tcPr>
            <w:tcW w:w="2470" w:type="dxa"/>
          </w:tcPr>
          <w:p w:rsidR="00132605" w:rsidRDefault="00132605">
            <w:r>
              <w:t>Energy Utility Industry</w:t>
            </w:r>
          </w:p>
        </w:tc>
        <w:tc>
          <w:tcPr>
            <w:tcW w:w="6643" w:type="dxa"/>
          </w:tcPr>
          <w:p w:rsidR="00132605" w:rsidRDefault="00132605">
            <w:r>
              <w:t>Center for Energy Workforce Development</w:t>
            </w:r>
          </w:p>
          <w:p w:rsidR="00132605" w:rsidRDefault="00A4452E">
            <w:hyperlink r:id="rId9" w:history="1">
              <w:r w:rsidR="00132605" w:rsidRPr="00362EB5">
                <w:rPr>
                  <w:rStyle w:val="Hyperlink"/>
                </w:rPr>
                <w:t>http://www.cewd.org/documents/energymodel.pdf</w:t>
              </w:r>
            </w:hyperlink>
            <w:r w:rsidR="00132605">
              <w:t xml:space="preserve"> </w:t>
            </w:r>
          </w:p>
        </w:tc>
      </w:tr>
      <w:tr w:rsidR="00132605" w:rsidTr="00DE6021">
        <w:trPr>
          <w:jc w:val="center"/>
        </w:trPr>
        <w:tc>
          <w:tcPr>
            <w:tcW w:w="2470" w:type="dxa"/>
          </w:tcPr>
          <w:p w:rsidR="00132605" w:rsidRDefault="00132605">
            <w:r>
              <w:t>Information Technology</w:t>
            </w:r>
          </w:p>
        </w:tc>
        <w:tc>
          <w:tcPr>
            <w:tcW w:w="6643" w:type="dxa"/>
          </w:tcPr>
          <w:p w:rsidR="00132605" w:rsidRDefault="00132605">
            <w:r>
              <w:t>State of Missouri</w:t>
            </w:r>
            <w:r w:rsidR="00DE6021">
              <w:t xml:space="preserve"> Department of Economic Development</w:t>
            </w:r>
          </w:p>
          <w:p w:rsidR="00DE6021" w:rsidRDefault="00A4452E">
            <w:hyperlink r:id="rId10" w:history="1">
              <w:r w:rsidR="00DE6021" w:rsidRPr="00362EB5">
                <w:rPr>
                  <w:rStyle w:val="Hyperlink"/>
                </w:rPr>
                <w:t>http://www.missourieconomy.org/industry/target_comp_model_it.stm</w:t>
              </w:r>
            </w:hyperlink>
            <w:r w:rsidR="00DE6021">
              <w:t xml:space="preserve"> </w:t>
            </w:r>
          </w:p>
        </w:tc>
      </w:tr>
      <w:tr w:rsidR="00132605" w:rsidTr="00DE6021">
        <w:trPr>
          <w:jc w:val="center"/>
        </w:trPr>
        <w:tc>
          <w:tcPr>
            <w:tcW w:w="2470" w:type="dxa"/>
          </w:tcPr>
          <w:p w:rsidR="00132605" w:rsidRDefault="00DE6021">
            <w:r>
              <w:t>Human Resources</w:t>
            </w:r>
          </w:p>
        </w:tc>
        <w:tc>
          <w:tcPr>
            <w:tcW w:w="6643" w:type="dxa"/>
          </w:tcPr>
          <w:p w:rsidR="00132605" w:rsidRDefault="00DE6021">
            <w:r>
              <w:t>US Office of Personnel Management</w:t>
            </w:r>
          </w:p>
          <w:p w:rsidR="00DE6021" w:rsidRDefault="00A4452E">
            <w:hyperlink r:id="rId11" w:history="1">
              <w:r w:rsidR="00DE6021" w:rsidRPr="00362EB5">
                <w:rPr>
                  <w:rStyle w:val="Hyperlink"/>
                </w:rPr>
                <w:t>http://www.opm.gov/studies/transapp.pdf</w:t>
              </w:r>
            </w:hyperlink>
            <w:r w:rsidR="00DE6021">
              <w:t xml:space="preserve"> </w:t>
            </w:r>
          </w:p>
        </w:tc>
      </w:tr>
      <w:tr w:rsidR="00132605" w:rsidTr="00DE6021">
        <w:trPr>
          <w:jc w:val="center"/>
        </w:trPr>
        <w:tc>
          <w:tcPr>
            <w:tcW w:w="2470" w:type="dxa"/>
          </w:tcPr>
          <w:p w:rsidR="00132605" w:rsidRDefault="00DE6021" w:rsidP="00DE6021">
            <w:r>
              <w:lastRenderedPageBreak/>
              <w:t>Leadership</w:t>
            </w:r>
          </w:p>
        </w:tc>
        <w:tc>
          <w:tcPr>
            <w:tcW w:w="6643" w:type="dxa"/>
          </w:tcPr>
          <w:p w:rsidR="00132605" w:rsidRDefault="00DE6021">
            <w:r>
              <w:t>US Department of Agriculture</w:t>
            </w:r>
          </w:p>
          <w:p w:rsidR="00DE6021" w:rsidRDefault="00A4452E">
            <w:hyperlink r:id="rId12" w:history="1">
              <w:r w:rsidR="00DE6021" w:rsidRPr="00362EB5">
                <w:rPr>
                  <w:rStyle w:val="Hyperlink"/>
                </w:rPr>
                <w:t>http://www.ocio.usda.gov/directives/doc/DR4040-412-001.htm</w:t>
              </w:r>
            </w:hyperlink>
            <w:r w:rsidR="00DE6021">
              <w:t xml:space="preserve"> </w:t>
            </w:r>
          </w:p>
          <w:p w:rsidR="00DE6021" w:rsidRDefault="00DE6021">
            <w:r>
              <w:t>University of Iowa</w:t>
            </w:r>
          </w:p>
          <w:p w:rsidR="00DE6021" w:rsidRDefault="00A4452E">
            <w:hyperlink r:id="rId13" w:history="1">
              <w:r w:rsidR="00DE6021" w:rsidRPr="00362EB5">
                <w:rPr>
                  <w:rStyle w:val="Hyperlink"/>
                </w:rPr>
                <w:t>http://www.uiowa.edu/hr/lead/frame.pdf</w:t>
              </w:r>
            </w:hyperlink>
            <w:r w:rsidR="00DE6021">
              <w:t xml:space="preserve"> </w:t>
            </w:r>
          </w:p>
        </w:tc>
      </w:tr>
      <w:tr w:rsidR="00132605" w:rsidTr="00DE6021">
        <w:trPr>
          <w:jc w:val="center"/>
        </w:trPr>
        <w:tc>
          <w:tcPr>
            <w:tcW w:w="2470" w:type="dxa"/>
          </w:tcPr>
          <w:p w:rsidR="00132605" w:rsidRDefault="00DE6021">
            <w:r>
              <w:t>General</w:t>
            </w:r>
          </w:p>
        </w:tc>
        <w:tc>
          <w:tcPr>
            <w:tcW w:w="6643" w:type="dxa"/>
          </w:tcPr>
          <w:p w:rsidR="00132605" w:rsidRDefault="00DE6021">
            <w:r>
              <w:t>State of Georgia</w:t>
            </w:r>
          </w:p>
          <w:p w:rsidR="00DE6021" w:rsidRDefault="00A4452E">
            <w:hyperlink r:id="rId14" w:history="1">
              <w:r w:rsidR="00DE6021" w:rsidRPr="00362EB5">
                <w:rPr>
                  <w:rStyle w:val="Hyperlink"/>
                </w:rPr>
                <w:t>http://www.spa.ga.gov/pdfs/wfp/GA_framework.pdf</w:t>
              </w:r>
            </w:hyperlink>
          </w:p>
        </w:tc>
      </w:tr>
    </w:tbl>
    <w:p w:rsidR="00132605" w:rsidRPr="00B8333F" w:rsidRDefault="00132605">
      <w:r>
        <w:t xml:space="preserve"> </w:t>
      </w:r>
    </w:p>
    <w:p w:rsidR="00B12888" w:rsidRDefault="00A81098">
      <w:r>
        <w:t>Measuring the existence of these competencies in your workforce can be as simple as delivering a survey to managers</w:t>
      </w:r>
      <w:r w:rsidR="00B12888">
        <w:t xml:space="preserve">. </w:t>
      </w:r>
      <w:r>
        <w:t xml:space="preserve">Remember that these competencies </w:t>
      </w:r>
      <w:r>
        <w:rPr>
          <w:i/>
        </w:rPr>
        <w:t>must</w:t>
      </w:r>
      <w:r>
        <w:t xml:space="preserve"> be aligned with any performance measurement and professional development process that your organization has</w:t>
      </w:r>
      <w:r w:rsidR="00B12888">
        <w:t xml:space="preserve">. </w:t>
      </w:r>
      <w:r>
        <w:t xml:space="preserve">If not, </w:t>
      </w:r>
      <w:r w:rsidR="00076EAE">
        <w:t>there is</w:t>
      </w:r>
      <w:r>
        <w:t xml:space="preserve"> simply no link between what is valued and what is taught in the organization</w:t>
      </w:r>
      <w:r w:rsidR="00B12888">
        <w:t xml:space="preserve">. </w:t>
      </w:r>
    </w:p>
    <w:p w:rsidR="00C56243" w:rsidRDefault="00076EAE">
      <w:r>
        <w:t>In addition, we recommend that you identify potential candidates for the positions you’ve identified in the first step of this process</w:t>
      </w:r>
      <w:r w:rsidR="00B12888">
        <w:t xml:space="preserve">. </w:t>
      </w:r>
      <w:r>
        <w:t xml:space="preserve">While still respecting competition in the process, the assessment of your “bench strength” allows you to determine where your knowledge gaps exist </w:t>
      </w:r>
      <w:r w:rsidR="00B12888">
        <w:t xml:space="preserve">and [?] </w:t>
      </w:r>
      <w:r>
        <w:t>conduct professional development activities</w:t>
      </w:r>
      <w:r w:rsidR="00B12888">
        <w:t xml:space="preserve">. </w:t>
      </w:r>
      <w:r w:rsidR="00A81098">
        <w:t xml:space="preserve">Once you have determined the competencies and what your organization’s current capacity for these are, you </w:t>
      </w:r>
      <w:r>
        <w:t>are in a better position to begin planning programs for the future</w:t>
      </w:r>
      <w:r w:rsidR="00B12888">
        <w:t xml:space="preserve">. </w:t>
      </w:r>
    </w:p>
    <w:p w:rsidR="00076EAE" w:rsidRDefault="00076EAE">
      <w:pPr>
        <w:rPr>
          <w:u w:val="single"/>
        </w:rPr>
      </w:pPr>
      <w:r>
        <w:rPr>
          <w:u w:val="single"/>
        </w:rPr>
        <w:t>The Succession Planning Toolbox</w:t>
      </w:r>
    </w:p>
    <w:p w:rsidR="00076EAE" w:rsidRDefault="00B12888">
      <w:proofErr w:type="gramStart"/>
      <w:r>
        <w:t xml:space="preserve">After  </w:t>
      </w:r>
      <w:r w:rsidR="00076EAE">
        <w:t>you</w:t>
      </w:r>
      <w:proofErr w:type="gramEnd"/>
      <w:r w:rsidR="00076EAE">
        <w:t xml:space="preserve"> have identified the positions you need to plan for, the competencies needed</w:t>
      </w:r>
      <w:r>
        <w:t>,</w:t>
      </w:r>
      <w:r w:rsidR="00076EAE">
        <w:t xml:space="preserve"> and the gaps</w:t>
      </w:r>
      <w:r>
        <w:t>, then</w:t>
      </w:r>
      <w:r w:rsidR="00076EAE">
        <w:t xml:space="preserve"> you are able to begin devising specific strategies targeted at improving institutional knowledge</w:t>
      </w:r>
      <w:r>
        <w:t>. Y</w:t>
      </w:r>
      <w:r w:rsidR="00076EAE">
        <w:t xml:space="preserve">ou can employ </w:t>
      </w:r>
      <w:r>
        <w:t xml:space="preserve">a number of different strategies </w:t>
      </w:r>
      <w:r w:rsidR="00076EAE">
        <w:t>to do this</w:t>
      </w:r>
      <w:r>
        <w:t xml:space="preserve">. </w:t>
      </w:r>
      <w:r w:rsidR="00076EAE">
        <w:t xml:space="preserve">The following list provides a brief overview of some of the </w:t>
      </w:r>
      <w:r w:rsidR="00D16477">
        <w:t xml:space="preserve">key </w:t>
      </w:r>
      <w:r w:rsidR="00076EAE">
        <w:t>strategies that organizations utilize in succession planning activities:</w:t>
      </w:r>
    </w:p>
    <w:tbl>
      <w:tblPr>
        <w:tblStyle w:val="TableGrid"/>
        <w:tblW w:w="0" w:type="auto"/>
        <w:tblLook w:val="04A0"/>
      </w:tblPr>
      <w:tblGrid>
        <w:gridCol w:w="9576"/>
      </w:tblGrid>
      <w:tr w:rsidR="00076EAE" w:rsidTr="00076EAE">
        <w:tc>
          <w:tcPr>
            <w:tcW w:w="9576" w:type="dxa"/>
          </w:tcPr>
          <w:p w:rsidR="00D16477" w:rsidRPr="00D16477" w:rsidRDefault="00076EAE">
            <w:pPr>
              <w:rPr>
                <w:b/>
              </w:rPr>
            </w:pPr>
            <w:r w:rsidRPr="00D16477">
              <w:rPr>
                <w:b/>
              </w:rPr>
              <w:t xml:space="preserve">Training: </w:t>
            </w:r>
          </w:p>
          <w:p w:rsidR="00076EAE" w:rsidRPr="00D16477" w:rsidRDefault="00D16477" w:rsidP="00D16477">
            <w:r w:rsidRPr="00D16477">
              <w:t xml:space="preserve">Training allows the organization to provide employees with information that can allow them to perform their current job duties in the most efficient way possible </w:t>
            </w:r>
            <w:r w:rsidR="00B12888">
              <w:t>and can also</w:t>
            </w:r>
            <w:r w:rsidRPr="00D16477">
              <w:t xml:space="preserve"> grow employees into new positions, duties</w:t>
            </w:r>
            <w:r w:rsidR="00D04C42">
              <w:t>,</w:t>
            </w:r>
            <w:r w:rsidRPr="00D16477">
              <w:t xml:space="preserve"> and responsibilities</w:t>
            </w:r>
            <w:r w:rsidR="00B12888">
              <w:t xml:space="preserve">. </w:t>
            </w:r>
            <w:r w:rsidRPr="00D16477">
              <w:t>Training can take many forms</w:t>
            </w:r>
            <w:r w:rsidR="00B12888">
              <w:t>—</w:t>
            </w:r>
            <w:r w:rsidRPr="00D16477">
              <w:t>self study, directed, internal, external, eLearning, etc.</w:t>
            </w:r>
          </w:p>
          <w:p w:rsidR="00D16477" w:rsidRPr="00D16477" w:rsidRDefault="00D16477" w:rsidP="00D16477"/>
          <w:p w:rsidR="00D16477" w:rsidRPr="00D16477" w:rsidRDefault="00D16477" w:rsidP="00D16477">
            <w:pPr>
              <w:rPr>
                <w:b/>
              </w:rPr>
            </w:pPr>
            <w:r w:rsidRPr="00D16477">
              <w:rPr>
                <w:b/>
              </w:rPr>
              <w:t>Coaching &amp; Mentoring:</w:t>
            </w:r>
          </w:p>
          <w:p w:rsidR="00D16477" w:rsidRPr="00D16477" w:rsidRDefault="00D16477" w:rsidP="00D16477">
            <w:r w:rsidRPr="00D16477">
              <w:t>Increasingly utilized in succession planning, coaching and mentoring allow for seasoned veterans of your organization to work with the next generation to impart knowledge about organizational culture, work policies and procedures</w:t>
            </w:r>
            <w:r w:rsidR="00B12888">
              <w:t>,</w:t>
            </w:r>
            <w:r w:rsidRPr="00D16477">
              <w:t xml:space="preserve"> and softer skills such as employee management. </w:t>
            </w:r>
          </w:p>
          <w:p w:rsidR="00D16477" w:rsidRPr="00D16477" w:rsidRDefault="00D16477" w:rsidP="00D16477"/>
          <w:p w:rsidR="00D16477" w:rsidRPr="00D16477" w:rsidRDefault="00D16477" w:rsidP="00D16477">
            <w:pPr>
              <w:rPr>
                <w:b/>
              </w:rPr>
            </w:pPr>
            <w:r w:rsidRPr="00D16477">
              <w:rPr>
                <w:b/>
              </w:rPr>
              <w:t>Performance Evaluation:</w:t>
            </w:r>
          </w:p>
          <w:p w:rsidR="00D16477" w:rsidRDefault="00D16477" w:rsidP="00D16477">
            <w:r>
              <w:t>In order to grow and develop your workforce, you must be able to accurately assess performance and ensure that it is strategically aligned with your competency framework</w:t>
            </w:r>
            <w:r w:rsidR="00B12888">
              <w:t xml:space="preserve">. </w:t>
            </w:r>
            <w:r>
              <w:t>Additionally, where performance is deficient, you need to have plans for how to improve upon it.</w:t>
            </w:r>
          </w:p>
          <w:p w:rsidR="00D16477" w:rsidRDefault="00D16477" w:rsidP="00D16477"/>
          <w:p w:rsidR="00D16477" w:rsidRPr="00D16477" w:rsidRDefault="00D16477" w:rsidP="00D16477">
            <w:pPr>
              <w:rPr>
                <w:b/>
              </w:rPr>
            </w:pPr>
            <w:r w:rsidRPr="00D16477">
              <w:rPr>
                <w:b/>
              </w:rPr>
              <w:t>Knowledge Management:</w:t>
            </w:r>
          </w:p>
          <w:p w:rsidR="00D16477" w:rsidRPr="00D16477" w:rsidRDefault="00D16477" w:rsidP="00BD2D9F">
            <w:r w:rsidRPr="00D16477">
              <w:t xml:space="preserve">Knowledge transfer focuses on retaining institutional memory and proprietary knowledge that can be </w:t>
            </w:r>
            <w:r w:rsidRPr="00D16477">
              <w:lastRenderedPageBreak/>
              <w:t>lost when experienced workers depart organizations for retirement or for other reasons</w:t>
            </w:r>
            <w:r w:rsidR="00B12888">
              <w:t xml:space="preserve">. </w:t>
            </w:r>
            <w:r w:rsidRPr="00D16477">
              <w:t xml:space="preserve">Institutional memory </w:t>
            </w:r>
            <w:r w:rsidR="00BD2D9F">
              <w:t>encompasses</w:t>
            </w:r>
            <w:r w:rsidR="00BD2D9F" w:rsidRPr="00D16477">
              <w:t xml:space="preserve"> </w:t>
            </w:r>
            <w:r w:rsidRPr="00D16477">
              <w:t>what the members of an organization have learned from experience as a direct consequence of living through experiences and participating in decision making</w:t>
            </w:r>
            <w:r w:rsidR="00B12888">
              <w:t xml:space="preserve">. </w:t>
            </w:r>
            <w:r w:rsidRPr="00D16477">
              <w:t>An effective knowledge retention program can help mitigate potential skill shortages in key functions.</w:t>
            </w:r>
          </w:p>
        </w:tc>
      </w:tr>
    </w:tbl>
    <w:p w:rsidR="00076EAE" w:rsidRDefault="00076EAE"/>
    <w:p w:rsidR="00D16477" w:rsidRDefault="00BD2D9F">
      <w:r>
        <w:t>T</w:t>
      </w:r>
      <w:r w:rsidR="00D16477">
        <w:t xml:space="preserve">o make sure that these </w:t>
      </w:r>
      <w:r>
        <w:t xml:space="preserve">succession planning </w:t>
      </w:r>
      <w:r w:rsidR="00D16477">
        <w:t>strategies are tightly integrated within the organization, we recommend developing formal policies and procedures for the management of succession activities</w:t>
      </w:r>
      <w:r w:rsidR="00B12888">
        <w:t xml:space="preserve">. </w:t>
      </w:r>
      <w:r w:rsidR="00D16477">
        <w:t>Revisiting the success and effectiveness of these programs is a critical activity moving forward</w:t>
      </w:r>
      <w:r w:rsidR="00B12888">
        <w:t xml:space="preserve">. </w:t>
      </w:r>
      <w:r>
        <w:t>E</w:t>
      </w:r>
      <w:r w:rsidR="00D16477">
        <w:t>ach organization is different</w:t>
      </w:r>
      <w:r w:rsidR="00B6220D">
        <w:t xml:space="preserve">, and </w:t>
      </w:r>
      <w:proofErr w:type="spellStart"/>
      <w:r w:rsidR="00B6220D">
        <w:t>this</w:t>
      </w:r>
      <w:r w:rsidR="00D16477">
        <w:t>activity</w:t>
      </w:r>
      <w:proofErr w:type="spellEnd"/>
      <w:r w:rsidR="00D16477">
        <w:t xml:space="preserve"> allows you to determin</w:t>
      </w:r>
      <w:r w:rsidR="007214C5">
        <w:t>e how to tweak your programs.</w:t>
      </w:r>
    </w:p>
    <w:p w:rsidR="00C00DF2" w:rsidRDefault="006108E3">
      <w:pPr>
        <w:rPr>
          <w:u w:val="single"/>
        </w:rPr>
      </w:pPr>
      <w:r>
        <w:rPr>
          <w:u w:val="single"/>
        </w:rPr>
        <w:t xml:space="preserve"> The </w:t>
      </w:r>
      <w:r w:rsidR="00BD2D9F">
        <w:rPr>
          <w:u w:val="single"/>
        </w:rPr>
        <w:t>B</w:t>
      </w:r>
      <w:r>
        <w:rPr>
          <w:u w:val="single"/>
        </w:rPr>
        <w:t xml:space="preserve">ottom </w:t>
      </w:r>
      <w:r w:rsidR="00BD2D9F">
        <w:rPr>
          <w:u w:val="single"/>
        </w:rPr>
        <w:t>L</w:t>
      </w:r>
      <w:r>
        <w:rPr>
          <w:u w:val="single"/>
        </w:rPr>
        <w:t>ine</w:t>
      </w:r>
    </w:p>
    <w:p w:rsidR="007214C5" w:rsidRDefault="007214C5">
      <w:r>
        <w:t>Succession planning does not have to be a costly endeavor</w:t>
      </w:r>
      <w:r w:rsidR="00B12888">
        <w:t xml:space="preserve">. </w:t>
      </w:r>
      <w:r>
        <w:t xml:space="preserve">However, if left unaddressed, the organization may experience substantial sunk costs in terms of lost knowledge of organizational history and </w:t>
      </w:r>
      <w:r w:rsidR="00BD2D9F">
        <w:t xml:space="preserve">of </w:t>
      </w:r>
      <w:r>
        <w:t>policies/procedures</w:t>
      </w:r>
      <w:r w:rsidR="00B12888">
        <w:t xml:space="preserve">. </w:t>
      </w:r>
      <w:r>
        <w:t>It may also suffer from decreased performance and customer satisfaction</w:t>
      </w:r>
      <w:r w:rsidR="00B12888">
        <w:t xml:space="preserve">. </w:t>
      </w:r>
      <w:r>
        <w:t>With some small steps</w:t>
      </w:r>
      <w:r w:rsidR="00BD2D9F">
        <w:t>,</w:t>
      </w:r>
      <w:r>
        <w:t xml:space="preserve"> organizations </w:t>
      </w:r>
      <w:r w:rsidR="00BD2D9F">
        <w:t xml:space="preserve">can </w:t>
      </w:r>
      <w:r>
        <w:t>position themselves for sustained service delivery and stability.</w:t>
      </w:r>
    </w:p>
    <w:p w:rsidR="006108E3" w:rsidRPr="009D3893" w:rsidRDefault="006108E3">
      <w:r w:rsidRPr="009D3893">
        <w:t xml:space="preserve">For more information regarding succession planning for your organization, contact </w:t>
      </w:r>
      <w:r w:rsidR="009D3893" w:rsidRPr="009D3893">
        <w:t xml:space="preserve">Christine Smith of Baker Tilly Virchow Krause, LLP at </w:t>
      </w:r>
      <w:r w:rsidR="009D3893" w:rsidRPr="009D3893">
        <w:rPr>
          <w:rFonts w:ascii="Arial" w:hAnsi="Arial" w:cs="Arial"/>
          <w:sz w:val="20"/>
          <w:szCs w:val="20"/>
        </w:rPr>
        <w:t>608 240 2391.</w:t>
      </w:r>
    </w:p>
    <w:p w:rsidR="006108E3" w:rsidRPr="007214C5" w:rsidRDefault="006108E3"/>
    <w:p w:rsidR="000E6F7B" w:rsidRDefault="000E6F7B"/>
    <w:p w:rsidR="008A4CE3" w:rsidRDefault="008A4CE3">
      <w:r>
        <w:br w:type="page"/>
      </w:r>
    </w:p>
    <w:p w:rsidR="008A4CE3" w:rsidRPr="00B8333F" w:rsidRDefault="008A4CE3">
      <w:pPr>
        <w:rPr>
          <w:u w:val="single"/>
        </w:rPr>
      </w:pPr>
      <w:r w:rsidRPr="00B8333F">
        <w:rPr>
          <w:u w:val="single"/>
        </w:rPr>
        <w:lastRenderedPageBreak/>
        <w:t>Bibliography</w:t>
      </w:r>
    </w:p>
    <w:p w:rsidR="00B8333F" w:rsidRDefault="00B8333F">
      <w:proofErr w:type="gramStart"/>
      <w:r>
        <w:t>Center for State &amp; Local Government Excellence (2011).</w:t>
      </w:r>
      <w:proofErr w:type="gramEnd"/>
      <w:r>
        <w:t xml:space="preserve"> “State and Local Government Workforce: 2011 Realities.”</w:t>
      </w:r>
    </w:p>
    <w:p w:rsidR="00B90204" w:rsidRDefault="00B90204">
      <w:proofErr w:type="gramStart"/>
      <w:r>
        <w:t>CPS Human Resource Services (2005).</w:t>
      </w:r>
      <w:proofErr w:type="gramEnd"/>
      <w:r>
        <w:t xml:space="preserve"> “Building the Leadership Pipeline in Local, State and Federal Government.”</w:t>
      </w:r>
    </w:p>
    <w:p w:rsidR="008A4CE3" w:rsidRDefault="008A4CE3">
      <w:r>
        <w:t xml:space="preserve">Henderson, Bethany (2008). “Don’t Shut the Door on Your Way Out: Stopping the Threat to City Operations Posed by the Aging Municipal Workforce.” </w:t>
      </w:r>
      <w:proofErr w:type="gramStart"/>
      <w:r>
        <w:rPr>
          <w:i/>
        </w:rPr>
        <w:t>National Civic Review.</w:t>
      </w:r>
      <w:proofErr w:type="gramEnd"/>
      <w:r>
        <w:rPr>
          <w:i/>
        </w:rPr>
        <w:t xml:space="preserve"> </w:t>
      </w:r>
      <w:r>
        <w:t>Fall 2008: 3-10.</w:t>
      </w:r>
    </w:p>
    <w:p w:rsidR="00781CEA" w:rsidRPr="008A4CE3" w:rsidRDefault="00781CEA">
      <w:proofErr w:type="gramStart"/>
      <w:r>
        <w:t>International Public Management Association for Human Resources (2009).</w:t>
      </w:r>
      <w:proofErr w:type="gramEnd"/>
      <w:r>
        <w:t xml:space="preserve"> </w:t>
      </w:r>
      <w:proofErr w:type="gramStart"/>
      <w:r>
        <w:t>“Benchmarking Report 2009: Workforce and Succession Planning.”</w:t>
      </w:r>
      <w:proofErr w:type="gramEnd"/>
      <w:r>
        <w:t xml:space="preserve"> </w:t>
      </w:r>
    </w:p>
    <w:sectPr w:rsidR="00781CEA" w:rsidRPr="008A4CE3" w:rsidSect="00672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A4CE3"/>
    <w:rsid w:val="00076EAE"/>
    <w:rsid w:val="000E6F7B"/>
    <w:rsid w:val="00132605"/>
    <w:rsid w:val="00152425"/>
    <w:rsid w:val="001E48BD"/>
    <w:rsid w:val="002A0AB1"/>
    <w:rsid w:val="005405DB"/>
    <w:rsid w:val="005F2A8D"/>
    <w:rsid w:val="006108E3"/>
    <w:rsid w:val="00637955"/>
    <w:rsid w:val="00672895"/>
    <w:rsid w:val="007214C5"/>
    <w:rsid w:val="00744BA8"/>
    <w:rsid w:val="00781CEA"/>
    <w:rsid w:val="0082262D"/>
    <w:rsid w:val="008A4CE3"/>
    <w:rsid w:val="00995BD9"/>
    <w:rsid w:val="009D3893"/>
    <w:rsid w:val="00A4452E"/>
    <w:rsid w:val="00A81098"/>
    <w:rsid w:val="00B00DD6"/>
    <w:rsid w:val="00B014BC"/>
    <w:rsid w:val="00B12888"/>
    <w:rsid w:val="00B6220D"/>
    <w:rsid w:val="00B81B17"/>
    <w:rsid w:val="00B8333F"/>
    <w:rsid w:val="00B90204"/>
    <w:rsid w:val="00BC4511"/>
    <w:rsid w:val="00BD2D9F"/>
    <w:rsid w:val="00C00DF2"/>
    <w:rsid w:val="00C32699"/>
    <w:rsid w:val="00C56243"/>
    <w:rsid w:val="00C651DA"/>
    <w:rsid w:val="00CC3D9A"/>
    <w:rsid w:val="00CF2FB7"/>
    <w:rsid w:val="00D04C42"/>
    <w:rsid w:val="00D16477"/>
    <w:rsid w:val="00DE6021"/>
    <w:rsid w:val="00E40B34"/>
    <w:rsid w:val="00E90D8E"/>
    <w:rsid w:val="00EE2FEA"/>
    <w:rsid w:val="00F27F43"/>
    <w:rsid w:val="00F63369"/>
    <w:rsid w:val="00F81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F43"/>
    <w:rPr>
      <w:color w:val="0000FF" w:themeColor="hyperlink"/>
      <w:u w:val="single"/>
    </w:rPr>
  </w:style>
  <w:style w:type="paragraph" w:styleId="BalloonText">
    <w:name w:val="Balloon Text"/>
    <w:basedOn w:val="Normal"/>
    <w:link w:val="BalloonTextChar"/>
    <w:uiPriority w:val="99"/>
    <w:semiHidden/>
    <w:unhideWhenUsed/>
    <w:rsid w:val="00B00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D6"/>
    <w:rPr>
      <w:rFonts w:ascii="Tahoma" w:hAnsi="Tahoma" w:cs="Tahoma"/>
      <w:sz w:val="16"/>
      <w:szCs w:val="16"/>
    </w:rPr>
  </w:style>
  <w:style w:type="table" w:styleId="TableGrid">
    <w:name w:val="Table Grid"/>
    <w:basedOn w:val="TableNormal"/>
    <w:uiPriority w:val="59"/>
    <w:rsid w:val="00132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108E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A0A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4250513">
      <w:bodyDiv w:val="1"/>
      <w:marLeft w:val="0"/>
      <w:marRight w:val="0"/>
      <w:marTop w:val="0"/>
      <w:marBottom w:val="0"/>
      <w:divBdr>
        <w:top w:val="none" w:sz="0" w:space="0" w:color="auto"/>
        <w:left w:val="none" w:sz="0" w:space="0" w:color="auto"/>
        <w:bottom w:val="none" w:sz="0" w:space="0" w:color="auto"/>
        <w:right w:val="none" w:sz="0" w:space="0" w:color="auto"/>
      </w:divBdr>
      <w:divsChild>
        <w:div w:id="1708873648">
          <w:marLeft w:val="0"/>
          <w:marRight w:val="0"/>
          <w:marTop w:val="0"/>
          <w:marBottom w:val="0"/>
          <w:divBdr>
            <w:top w:val="none" w:sz="0" w:space="0" w:color="auto"/>
            <w:left w:val="none" w:sz="0" w:space="0" w:color="auto"/>
            <w:bottom w:val="none" w:sz="0" w:space="0" w:color="auto"/>
            <w:right w:val="none" w:sz="0" w:space="0" w:color="auto"/>
          </w:divBdr>
          <w:divsChild>
            <w:div w:id="1625306839">
              <w:marLeft w:val="0"/>
              <w:marRight w:val="0"/>
              <w:marTop w:val="0"/>
              <w:marBottom w:val="0"/>
              <w:divBdr>
                <w:top w:val="none" w:sz="0" w:space="0" w:color="auto"/>
                <w:left w:val="single" w:sz="4" w:space="0" w:color="E2E2E2"/>
                <w:bottom w:val="none" w:sz="0" w:space="0" w:color="auto"/>
                <w:right w:val="single" w:sz="4" w:space="0" w:color="E2E2E2"/>
              </w:divBdr>
              <w:divsChild>
                <w:div w:id="1565721809">
                  <w:marLeft w:val="0"/>
                  <w:marRight w:val="0"/>
                  <w:marTop w:val="0"/>
                  <w:marBottom w:val="0"/>
                  <w:divBdr>
                    <w:top w:val="none" w:sz="0" w:space="0" w:color="auto"/>
                    <w:left w:val="none" w:sz="0" w:space="0" w:color="auto"/>
                    <w:bottom w:val="none" w:sz="0" w:space="0" w:color="auto"/>
                    <w:right w:val="none" w:sz="0" w:space="0" w:color="auto"/>
                  </w:divBdr>
                  <w:divsChild>
                    <w:div w:id="46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hyperlink" Target="http://www.uiowa.edu/hr/lead/frame.pdf" TargetMode="Externa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hyperlink" Target="http://www.ocio.usda.gov/directives/doc/DR4040-412-00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hyperlink" Target="http://www.opm.gov/studies/transapp.pdf" TargetMode="External"/><Relationship Id="rId5" Type="http://schemas.openxmlformats.org/officeDocument/2006/relationships/diagramLayout" Target="diagrams/layout1.xml"/><Relationship Id="rId15" Type="http://schemas.openxmlformats.org/officeDocument/2006/relationships/fontTable" Target="fontTable.xml"/><Relationship Id="rId10" Type="http://schemas.openxmlformats.org/officeDocument/2006/relationships/hyperlink" Target="http://www.missourieconomy.org/industry/target_comp_model_it.stm" TargetMode="External"/><Relationship Id="rId4" Type="http://schemas.openxmlformats.org/officeDocument/2006/relationships/diagramData" Target="diagrams/data1.xml"/><Relationship Id="rId9" Type="http://schemas.openxmlformats.org/officeDocument/2006/relationships/hyperlink" Target="http://www.cewd.org/documents/energymodel.pdf" TargetMode="External"/><Relationship Id="rId14" Type="http://schemas.openxmlformats.org/officeDocument/2006/relationships/hyperlink" Target="http://www.spa.ga.gov/pdfs/wfp/GA_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4FD425-14AE-41FA-81BC-3620B8D9152F}" type="doc">
      <dgm:prSet loTypeId="urn:microsoft.com/office/officeart/2005/8/layout/chevron1" loCatId="process" qsTypeId="urn:microsoft.com/office/officeart/2005/8/quickstyle/simple1" qsCatId="simple" csTypeId="urn:microsoft.com/office/officeart/2005/8/colors/accent1_2" csCatId="accent1" phldr="1"/>
      <dgm:spPr/>
    </dgm:pt>
    <dgm:pt modelId="{149EED57-21DF-4034-9174-C32208A90800}">
      <dgm:prSet phldrT="[Text]" custT="1"/>
      <dgm:spPr/>
      <dgm:t>
        <a:bodyPr/>
        <a:lstStyle/>
        <a:p>
          <a:r>
            <a:rPr lang="en-US" sz="800" b="1"/>
            <a:t>Identify Key Leaderhip &amp; Critical Positions</a:t>
          </a:r>
        </a:p>
      </dgm:t>
    </dgm:pt>
    <dgm:pt modelId="{893DB84A-F8A6-4FF8-85B7-B7E5C9438BE3}" type="parTrans" cxnId="{ABD649DD-6FF4-4C01-BE00-22A66FD463D3}">
      <dgm:prSet/>
      <dgm:spPr/>
      <dgm:t>
        <a:bodyPr/>
        <a:lstStyle/>
        <a:p>
          <a:endParaRPr lang="en-US"/>
        </a:p>
      </dgm:t>
    </dgm:pt>
    <dgm:pt modelId="{39528379-0DB7-4B74-AAE6-D34768E0C3A7}" type="sibTrans" cxnId="{ABD649DD-6FF4-4C01-BE00-22A66FD463D3}">
      <dgm:prSet/>
      <dgm:spPr/>
      <dgm:t>
        <a:bodyPr/>
        <a:lstStyle/>
        <a:p>
          <a:endParaRPr lang="en-US"/>
        </a:p>
      </dgm:t>
    </dgm:pt>
    <dgm:pt modelId="{A313CDEF-94AC-410F-883A-7BF4DAF1D133}">
      <dgm:prSet phldrT="[Text]" custT="1"/>
      <dgm:spPr/>
      <dgm:t>
        <a:bodyPr/>
        <a:lstStyle/>
        <a:p>
          <a:r>
            <a:rPr lang="en-US" sz="800" b="1"/>
            <a:t>Identify Competency Skills &amp; Success Factors</a:t>
          </a:r>
        </a:p>
      </dgm:t>
    </dgm:pt>
    <dgm:pt modelId="{B98E223B-34B5-4976-9735-08844ADF8EF4}" type="parTrans" cxnId="{033C7F03-0AA0-4407-8BA2-F3BA14DF0D6A}">
      <dgm:prSet/>
      <dgm:spPr/>
      <dgm:t>
        <a:bodyPr/>
        <a:lstStyle/>
        <a:p>
          <a:endParaRPr lang="en-US"/>
        </a:p>
      </dgm:t>
    </dgm:pt>
    <dgm:pt modelId="{7C8380D4-CA3D-47DB-95BA-1E4DA9E0277A}" type="sibTrans" cxnId="{033C7F03-0AA0-4407-8BA2-F3BA14DF0D6A}">
      <dgm:prSet/>
      <dgm:spPr/>
      <dgm:t>
        <a:bodyPr/>
        <a:lstStyle/>
        <a:p>
          <a:endParaRPr lang="en-US"/>
        </a:p>
      </dgm:t>
    </dgm:pt>
    <dgm:pt modelId="{94ABB62B-B4AA-4254-8F8C-0A4A8A1F288D}">
      <dgm:prSet phldrT="[Text]" custT="1"/>
      <dgm:spPr/>
      <dgm:t>
        <a:bodyPr/>
        <a:lstStyle/>
        <a:p>
          <a:r>
            <a:rPr lang="en-US" sz="800" b="1"/>
            <a:t>Assess Current Bench Strength </a:t>
          </a:r>
        </a:p>
      </dgm:t>
    </dgm:pt>
    <dgm:pt modelId="{82EC73A9-3151-4708-8699-0A464621570F}" type="parTrans" cxnId="{5B0759D5-ACB9-417D-BF17-97F369310235}">
      <dgm:prSet/>
      <dgm:spPr/>
      <dgm:t>
        <a:bodyPr/>
        <a:lstStyle/>
        <a:p>
          <a:endParaRPr lang="en-US"/>
        </a:p>
      </dgm:t>
    </dgm:pt>
    <dgm:pt modelId="{A4C99C7E-DDB9-4232-BFF5-5CF3841549C5}" type="sibTrans" cxnId="{5B0759D5-ACB9-417D-BF17-97F369310235}">
      <dgm:prSet/>
      <dgm:spPr/>
      <dgm:t>
        <a:bodyPr/>
        <a:lstStyle/>
        <a:p>
          <a:endParaRPr lang="en-US"/>
        </a:p>
      </dgm:t>
    </dgm:pt>
    <dgm:pt modelId="{378BFAE1-F798-421E-A35B-2CBC00453E48}">
      <dgm:prSet custT="1"/>
      <dgm:spPr/>
      <dgm:t>
        <a:bodyPr/>
        <a:lstStyle/>
        <a:p>
          <a:r>
            <a:rPr lang="en-US" sz="800" b="1"/>
            <a:t>Design &amp; Implement Strategies &amp; Frameworks</a:t>
          </a:r>
        </a:p>
      </dgm:t>
    </dgm:pt>
    <dgm:pt modelId="{8A57BC18-C3E6-4548-8135-1A4D15021BB4}" type="parTrans" cxnId="{4F9DE41C-67E2-43FB-B0E9-5CB05863E75C}">
      <dgm:prSet/>
      <dgm:spPr/>
      <dgm:t>
        <a:bodyPr/>
        <a:lstStyle/>
        <a:p>
          <a:endParaRPr lang="en-US"/>
        </a:p>
      </dgm:t>
    </dgm:pt>
    <dgm:pt modelId="{54700E0D-090E-4648-ADE5-BA40B04EBCF4}" type="sibTrans" cxnId="{4F9DE41C-67E2-43FB-B0E9-5CB05863E75C}">
      <dgm:prSet/>
      <dgm:spPr/>
      <dgm:t>
        <a:bodyPr/>
        <a:lstStyle/>
        <a:p>
          <a:endParaRPr lang="en-US"/>
        </a:p>
      </dgm:t>
    </dgm:pt>
    <dgm:pt modelId="{4482A7EA-2AB7-4704-BBFD-17C2273F0D04}">
      <dgm:prSet custT="1"/>
      <dgm:spPr/>
      <dgm:t>
        <a:bodyPr/>
        <a:lstStyle/>
        <a:p>
          <a:r>
            <a:rPr lang="en-US" sz="800" b="1"/>
            <a:t>Monitor &amp; Evaluate Strategies</a:t>
          </a:r>
        </a:p>
      </dgm:t>
    </dgm:pt>
    <dgm:pt modelId="{BB5A0B62-C638-465F-A80E-6194E4D6EB28}" type="parTrans" cxnId="{CEE5D5D7-5979-497C-B6E4-06A02A432686}">
      <dgm:prSet/>
      <dgm:spPr/>
      <dgm:t>
        <a:bodyPr/>
        <a:lstStyle/>
        <a:p>
          <a:endParaRPr lang="en-US"/>
        </a:p>
      </dgm:t>
    </dgm:pt>
    <dgm:pt modelId="{CFEF5DC0-207D-4FF2-B3B8-0A9D9DEBE69A}" type="sibTrans" cxnId="{CEE5D5D7-5979-497C-B6E4-06A02A432686}">
      <dgm:prSet/>
      <dgm:spPr/>
      <dgm:t>
        <a:bodyPr/>
        <a:lstStyle/>
        <a:p>
          <a:endParaRPr lang="en-US"/>
        </a:p>
      </dgm:t>
    </dgm:pt>
    <dgm:pt modelId="{BDC80827-68A7-4002-B782-1D5C44B874CA}" type="pres">
      <dgm:prSet presAssocID="{DC4FD425-14AE-41FA-81BC-3620B8D9152F}" presName="Name0" presStyleCnt="0">
        <dgm:presLayoutVars>
          <dgm:dir/>
          <dgm:animLvl val="lvl"/>
          <dgm:resizeHandles val="exact"/>
        </dgm:presLayoutVars>
      </dgm:prSet>
      <dgm:spPr/>
    </dgm:pt>
    <dgm:pt modelId="{C1ADAB92-A654-4925-9B6E-508CE2810B18}" type="pres">
      <dgm:prSet presAssocID="{149EED57-21DF-4034-9174-C32208A90800}" presName="parTxOnly" presStyleLbl="node1" presStyleIdx="0" presStyleCnt="5" custScaleY="126791">
        <dgm:presLayoutVars>
          <dgm:chMax val="0"/>
          <dgm:chPref val="0"/>
          <dgm:bulletEnabled val="1"/>
        </dgm:presLayoutVars>
      </dgm:prSet>
      <dgm:spPr/>
      <dgm:t>
        <a:bodyPr/>
        <a:lstStyle/>
        <a:p>
          <a:endParaRPr lang="en-US"/>
        </a:p>
      </dgm:t>
    </dgm:pt>
    <dgm:pt modelId="{E86D6012-9093-4DE9-96D4-902418A0EB08}" type="pres">
      <dgm:prSet presAssocID="{39528379-0DB7-4B74-AAE6-D34768E0C3A7}" presName="parTxOnlySpace" presStyleCnt="0"/>
      <dgm:spPr/>
    </dgm:pt>
    <dgm:pt modelId="{DA87C136-6272-4D21-A63D-5B42C5BA9254}" type="pres">
      <dgm:prSet presAssocID="{A313CDEF-94AC-410F-883A-7BF4DAF1D133}" presName="parTxOnly" presStyleLbl="node1" presStyleIdx="1" presStyleCnt="5" custScaleY="126791">
        <dgm:presLayoutVars>
          <dgm:chMax val="0"/>
          <dgm:chPref val="0"/>
          <dgm:bulletEnabled val="1"/>
        </dgm:presLayoutVars>
      </dgm:prSet>
      <dgm:spPr/>
      <dgm:t>
        <a:bodyPr/>
        <a:lstStyle/>
        <a:p>
          <a:endParaRPr lang="en-US"/>
        </a:p>
      </dgm:t>
    </dgm:pt>
    <dgm:pt modelId="{E19C1986-39C5-4600-8C7A-BBB371F69963}" type="pres">
      <dgm:prSet presAssocID="{7C8380D4-CA3D-47DB-95BA-1E4DA9E0277A}" presName="parTxOnlySpace" presStyleCnt="0"/>
      <dgm:spPr/>
    </dgm:pt>
    <dgm:pt modelId="{65BA948C-03B2-4936-93C5-33026DDBF1BB}" type="pres">
      <dgm:prSet presAssocID="{94ABB62B-B4AA-4254-8F8C-0A4A8A1F288D}" presName="parTxOnly" presStyleLbl="node1" presStyleIdx="2" presStyleCnt="5" custScaleY="126791">
        <dgm:presLayoutVars>
          <dgm:chMax val="0"/>
          <dgm:chPref val="0"/>
          <dgm:bulletEnabled val="1"/>
        </dgm:presLayoutVars>
      </dgm:prSet>
      <dgm:spPr/>
      <dgm:t>
        <a:bodyPr/>
        <a:lstStyle/>
        <a:p>
          <a:endParaRPr lang="en-US"/>
        </a:p>
      </dgm:t>
    </dgm:pt>
    <dgm:pt modelId="{48972C3B-A39C-4471-829B-3656132B2736}" type="pres">
      <dgm:prSet presAssocID="{A4C99C7E-DDB9-4232-BFF5-5CF3841549C5}" presName="parTxOnlySpace" presStyleCnt="0"/>
      <dgm:spPr/>
    </dgm:pt>
    <dgm:pt modelId="{9B8949BB-6608-48BF-BC07-BE614E489564}" type="pres">
      <dgm:prSet presAssocID="{378BFAE1-F798-421E-A35B-2CBC00453E48}" presName="parTxOnly" presStyleLbl="node1" presStyleIdx="3" presStyleCnt="5" custScaleY="126791">
        <dgm:presLayoutVars>
          <dgm:chMax val="0"/>
          <dgm:chPref val="0"/>
          <dgm:bulletEnabled val="1"/>
        </dgm:presLayoutVars>
      </dgm:prSet>
      <dgm:spPr/>
      <dgm:t>
        <a:bodyPr/>
        <a:lstStyle/>
        <a:p>
          <a:endParaRPr lang="en-US"/>
        </a:p>
      </dgm:t>
    </dgm:pt>
    <dgm:pt modelId="{5AA4D0BE-17DF-4281-97F3-9239BE745535}" type="pres">
      <dgm:prSet presAssocID="{54700E0D-090E-4648-ADE5-BA40B04EBCF4}" presName="parTxOnlySpace" presStyleCnt="0"/>
      <dgm:spPr/>
    </dgm:pt>
    <dgm:pt modelId="{6AEC45D0-4AFE-4D2B-AA7C-55304CF4B53C}" type="pres">
      <dgm:prSet presAssocID="{4482A7EA-2AB7-4704-BBFD-17C2273F0D04}" presName="parTxOnly" presStyleLbl="node1" presStyleIdx="4" presStyleCnt="5" custScaleY="126791">
        <dgm:presLayoutVars>
          <dgm:chMax val="0"/>
          <dgm:chPref val="0"/>
          <dgm:bulletEnabled val="1"/>
        </dgm:presLayoutVars>
      </dgm:prSet>
      <dgm:spPr/>
      <dgm:t>
        <a:bodyPr/>
        <a:lstStyle/>
        <a:p>
          <a:endParaRPr lang="en-US"/>
        </a:p>
      </dgm:t>
    </dgm:pt>
  </dgm:ptLst>
  <dgm:cxnLst>
    <dgm:cxn modelId="{BF162A10-BD49-486D-B5D1-D7382E8E1CC7}" type="presOf" srcId="{DC4FD425-14AE-41FA-81BC-3620B8D9152F}" destId="{BDC80827-68A7-4002-B782-1D5C44B874CA}" srcOrd="0" destOrd="0" presId="urn:microsoft.com/office/officeart/2005/8/layout/chevron1"/>
    <dgm:cxn modelId="{DC1D5AF7-94F0-49B1-8F26-2EF83FCC56E1}" type="presOf" srcId="{4482A7EA-2AB7-4704-BBFD-17C2273F0D04}" destId="{6AEC45D0-4AFE-4D2B-AA7C-55304CF4B53C}" srcOrd="0" destOrd="0" presId="urn:microsoft.com/office/officeart/2005/8/layout/chevron1"/>
    <dgm:cxn modelId="{4F9DE41C-67E2-43FB-B0E9-5CB05863E75C}" srcId="{DC4FD425-14AE-41FA-81BC-3620B8D9152F}" destId="{378BFAE1-F798-421E-A35B-2CBC00453E48}" srcOrd="3" destOrd="0" parTransId="{8A57BC18-C3E6-4548-8135-1A4D15021BB4}" sibTransId="{54700E0D-090E-4648-ADE5-BA40B04EBCF4}"/>
    <dgm:cxn modelId="{E50D7AEF-F3D2-4467-90BE-5E1860CA6685}" type="presOf" srcId="{94ABB62B-B4AA-4254-8F8C-0A4A8A1F288D}" destId="{65BA948C-03B2-4936-93C5-33026DDBF1BB}" srcOrd="0" destOrd="0" presId="urn:microsoft.com/office/officeart/2005/8/layout/chevron1"/>
    <dgm:cxn modelId="{13AE9C96-F956-4B37-95C4-FA95A7D803A8}" type="presOf" srcId="{149EED57-21DF-4034-9174-C32208A90800}" destId="{C1ADAB92-A654-4925-9B6E-508CE2810B18}" srcOrd="0" destOrd="0" presId="urn:microsoft.com/office/officeart/2005/8/layout/chevron1"/>
    <dgm:cxn modelId="{5B0759D5-ACB9-417D-BF17-97F369310235}" srcId="{DC4FD425-14AE-41FA-81BC-3620B8D9152F}" destId="{94ABB62B-B4AA-4254-8F8C-0A4A8A1F288D}" srcOrd="2" destOrd="0" parTransId="{82EC73A9-3151-4708-8699-0A464621570F}" sibTransId="{A4C99C7E-DDB9-4232-BFF5-5CF3841549C5}"/>
    <dgm:cxn modelId="{CEE5D5D7-5979-497C-B6E4-06A02A432686}" srcId="{DC4FD425-14AE-41FA-81BC-3620B8D9152F}" destId="{4482A7EA-2AB7-4704-BBFD-17C2273F0D04}" srcOrd="4" destOrd="0" parTransId="{BB5A0B62-C638-465F-A80E-6194E4D6EB28}" sibTransId="{CFEF5DC0-207D-4FF2-B3B8-0A9D9DEBE69A}"/>
    <dgm:cxn modelId="{ABD649DD-6FF4-4C01-BE00-22A66FD463D3}" srcId="{DC4FD425-14AE-41FA-81BC-3620B8D9152F}" destId="{149EED57-21DF-4034-9174-C32208A90800}" srcOrd="0" destOrd="0" parTransId="{893DB84A-F8A6-4FF8-85B7-B7E5C9438BE3}" sibTransId="{39528379-0DB7-4B74-AAE6-D34768E0C3A7}"/>
    <dgm:cxn modelId="{033C7F03-0AA0-4407-8BA2-F3BA14DF0D6A}" srcId="{DC4FD425-14AE-41FA-81BC-3620B8D9152F}" destId="{A313CDEF-94AC-410F-883A-7BF4DAF1D133}" srcOrd="1" destOrd="0" parTransId="{B98E223B-34B5-4976-9735-08844ADF8EF4}" sibTransId="{7C8380D4-CA3D-47DB-95BA-1E4DA9E0277A}"/>
    <dgm:cxn modelId="{098C4D95-0967-425E-8857-CBD0CA542080}" type="presOf" srcId="{378BFAE1-F798-421E-A35B-2CBC00453E48}" destId="{9B8949BB-6608-48BF-BC07-BE614E489564}" srcOrd="0" destOrd="0" presId="urn:microsoft.com/office/officeart/2005/8/layout/chevron1"/>
    <dgm:cxn modelId="{F06D83DA-4AE9-49B2-BD73-E505634DCF79}" type="presOf" srcId="{A313CDEF-94AC-410F-883A-7BF4DAF1D133}" destId="{DA87C136-6272-4D21-A63D-5B42C5BA9254}" srcOrd="0" destOrd="0" presId="urn:microsoft.com/office/officeart/2005/8/layout/chevron1"/>
    <dgm:cxn modelId="{84B9F728-0EDE-4E06-A8DE-4BDF870324F0}" type="presParOf" srcId="{BDC80827-68A7-4002-B782-1D5C44B874CA}" destId="{C1ADAB92-A654-4925-9B6E-508CE2810B18}" srcOrd="0" destOrd="0" presId="urn:microsoft.com/office/officeart/2005/8/layout/chevron1"/>
    <dgm:cxn modelId="{A81B7007-C7EE-4F9D-AA16-2BB4F0018CF9}" type="presParOf" srcId="{BDC80827-68A7-4002-B782-1D5C44B874CA}" destId="{E86D6012-9093-4DE9-96D4-902418A0EB08}" srcOrd="1" destOrd="0" presId="urn:microsoft.com/office/officeart/2005/8/layout/chevron1"/>
    <dgm:cxn modelId="{6B126B1F-D28D-4FA8-84A4-9629C1D8EC5D}" type="presParOf" srcId="{BDC80827-68A7-4002-B782-1D5C44B874CA}" destId="{DA87C136-6272-4D21-A63D-5B42C5BA9254}" srcOrd="2" destOrd="0" presId="urn:microsoft.com/office/officeart/2005/8/layout/chevron1"/>
    <dgm:cxn modelId="{5A101CC1-856F-48CD-AC14-9CECFC8D5BC3}" type="presParOf" srcId="{BDC80827-68A7-4002-B782-1D5C44B874CA}" destId="{E19C1986-39C5-4600-8C7A-BBB371F69963}" srcOrd="3" destOrd="0" presId="urn:microsoft.com/office/officeart/2005/8/layout/chevron1"/>
    <dgm:cxn modelId="{D6B31ED3-F57F-46EB-974A-F419CAC66901}" type="presParOf" srcId="{BDC80827-68A7-4002-B782-1D5C44B874CA}" destId="{65BA948C-03B2-4936-93C5-33026DDBF1BB}" srcOrd="4" destOrd="0" presId="urn:microsoft.com/office/officeart/2005/8/layout/chevron1"/>
    <dgm:cxn modelId="{C610ED42-6419-4BE3-9F15-E003A993FC34}" type="presParOf" srcId="{BDC80827-68A7-4002-B782-1D5C44B874CA}" destId="{48972C3B-A39C-4471-829B-3656132B2736}" srcOrd="5" destOrd="0" presId="urn:microsoft.com/office/officeart/2005/8/layout/chevron1"/>
    <dgm:cxn modelId="{DFB4EEAD-9587-4F49-8E2A-78C3ACB4D541}" type="presParOf" srcId="{BDC80827-68A7-4002-B782-1D5C44B874CA}" destId="{9B8949BB-6608-48BF-BC07-BE614E489564}" srcOrd="6" destOrd="0" presId="urn:microsoft.com/office/officeart/2005/8/layout/chevron1"/>
    <dgm:cxn modelId="{7221395E-891A-4F08-B59E-DE172832B969}" type="presParOf" srcId="{BDC80827-68A7-4002-B782-1D5C44B874CA}" destId="{5AA4D0BE-17DF-4281-97F3-9239BE745535}" srcOrd="7" destOrd="0" presId="urn:microsoft.com/office/officeart/2005/8/layout/chevron1"/>
    <dgm:cxn modelId="{DA8B6A69-F81B-4EC6-AD27-A0F4F22E0FB1}" type="presParOf" srcId="{BDC80827-68A7-4002-B782-1D5C44B874CA}" destId="{6AEC45D0-4AFE-4D2B-AA7C-55304CF4B53C}" srcOrd="8" destOrd="0" presId="urn:microsoft.com/office/officeart/2005/8/layout/chevron1"/>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ADAB92-A654-4925-9B6E-508CE2810B18}">
      <dsp:nvSpPr>
        <dsp:cNvPr id="0" name=""/>
        <dsp:cNvSpPr/>
      </dsp:nvSpPr>
      <dsp:spPr>
        <a:xfrm>
          <a:off x="1434" y="247648"/>
          <a:ext cx="1277106" cy="64770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t>Identify Key Leaderhip &amp; Critical Positions</a:t>
          </a:r>
        </a:p>
      </dsp:txBody>
      <dsp:txXfrm>
        <a:off x="1434" y="247648"/>
        <a:ext cx="1277106" cy="647702"/>
      </dsp:txXfrm>
    </dsp:sp>
    <dsp:sp modelId="{DA87C136-6272-4D21-A63D-5B42C5BA9254}">
      <dsp:nvSpPr>
        <dsp:cNvPr id="0" name=""/>
        <dsp:cNvSpPr/>
      </dsp:nvSpPr>
      <dsp:spPr>
        <a:xfrm>
          <a:off x="1150830" y="247648"/>
          <a:ext cx="1277106" cy="64770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t>Identify Competency Skills &amp; Success Factors</a:t>
          </a:r>
        </a:p>
      </dsp:txBody>
      <dsp:txXfrm>
        <a:off x="1150830" y="247648"/>
        <a:ext cx="1277106" cy="647702"/>
      </dsp:txXfrm>
    </dsp:sp>
    <dsp:sp modelId="{65BA948C-03B2-4936-93C5-33026DDBF1BB}">
      <dsp:nvSpPr>
        <dsp:cNvPr id="0" name=""/>
        <dsp:cNvSpPr/>
      </dsp:nvSpPr>
      <dsp:spPr>
        <a:xfrm>
          <a:off x="2300226" y="247648"/>
          <a:ext cx="1277106" cy="64770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t>Assess Current Bench Strength </a:t>
          </a:r>
        </a:p>
      </dsp:txBody>
      <dsp:txXfrm>
        <a:off x="2300226" y="247648"/>
        <a:ext cx="1277106" cy="647702"/>
      </dsp:txXfrm>
    </dsp:sp>
    <dsp:sp modelId="{9B8949BB-6608-48BF-BC07-BE614E489564}">
      <dsp:nvSpPr>
        <dsp:cNvPr id="0" name=""/>
        <dsp:cNvSpPr/>
      </dsp:nvSpPr>
      <dsp:spPr>
        <a:xfrm>
          <a:off x="3449622" y="247648"/>
          <a:ext cx="1277106" cy="64770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t>Design &amp; Implement Strategies &amp; Frameworks</a:t>
          </a:r>
        </a:p>
      </dsp:txBody>
      <dsp:txXfrm>
        <a:off x="3449622" y="247648"/>
        <a:ext cx="1277106" cy="647702"/>
      </dsp:txXfrm>
    </dsp:sp>
    <dsp:sp modelId="{6AEC45D0-4AFE-4D2B-AA7C-55304CF4B53C}">
      <dsp:nvSpPr>
        <dsp:cNvPr id="0" name=""/>
        <dsp:cNvSpPr/>
      </dsp:nvSpPr>
      <dsp:spPr>
        <a:xfrm>
          <a:off x="4599018" y="247648"/>
          <a:ext cx="1277106" cy="64770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b="1" kern="1200"/>
            <a:t>Monitor &amp; Evaluate Strategies</a:t>
          </a:r>
        </a:p>
      </dsp:txBody>
      <dsp:txXfrm>
        <a:off x="4599018" y="247648"/>
        <a:ext cx="1277106" cy="6477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Baker Tilly Virchow Krause LLP</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SF12896</dc:creator>
  <cp:lastModifiedBy>Agatha Gaca</cp:lastModifiedBy>
  <cp:revision>2</cp:revision>
  <dcterms:created xsi:type="dcterms:W3CDTF">2012-10-04T16:07:00Z</dcterms:created>
  <dcterms:modified xsi:type="dcterms:W3CDTF">2012-10-04T16:07:00Z</dcterms:modified>
</cp:coreProperties>
</file>