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9B6" w:rsidRDefault="006F39B6" w:rsidP="0078368A">
      <w:pPr>
        <w:tabs>
          <w:tab w:val="left" w:pos="1800"/>
        </w:tabs>
        <w:jc w:val="center"/>
        <w:rPr>
          <w:rFonts w:ascii="Arial" w:hAnsi="Arial"/>
          <w:color w:val="3C6D28"/>
          <w:sz w:val="28"/>
        </w:rPr>
      </w:pPr>
    </w:p>
    <w:p w:rsidR="006F39B6" w:rsidRDefault="006F39B6" w:rsidP="006F39B6">
      <w:pPr>
        <w:spacing w:line="276" w:lineRule="auto"/>
        <w:rPr>
          <w:rFonts w:ascii="Arial" w:eastAsia="Times New Roman" w:hAnsi="Arial" w:cs="Arial"/>
          <w:color w:val="9BBB59"/>
          <w:sz w:val="48"/>
          <w:szCs w:val="48"/>
        </w:rPr>
      </w:pPr>
    </w:p>
    <w:p w:rsidR="006F39B6" w:rsidRDefault="006F39B6" w:rsidP="006F39B6">
      <w:pPr>
        <w:spacing w:line="276" w:lineRule="auto"/>
        <w:rPr>
          <w:rFonts w:ascii="Arial" w:eastAsia="Times New Roman" w:hAnsi="Arial" w:cs="Arial"/>
          <w:color w:val="9BBB59"/>
          <w:sz w:val="48"/>
          <w:szCs w:val="48"/>
        </w:rPr>
      </w:pPr>
    </w:p>
    <w:p w:rsidR="00851A47" w:rsidRDefault="00851A47" w:rsidP="000633D3">
      <w:pPr>
        <w:spacing w:line="276" w:lineRule="auto"/>
        <w:jc w:val="center"/>
        <w:rPr>
          <w:rFonts w:ascii="Calibri" w:eastAsia="Times New Roman" w:hAnsi="Calibri" w:cs="Arial"/>
          <w:color w:val="9BBB59"/>
          <w:sz w:val="48"/>
          <w:szCs w:val="48"/>
        </w:rPr>
      </w:pPr>
    </w:p>
    <w:p w:rsidR="006F39B6" w:rsidRPr="000633D3" w:rsidRDefault="009C3D51" w:rsidP="00851A47">
      <w:pPr>
        <w:spacing w:line="276" w:lineRule="auto"/>
        <w:jc w:val="right"/>
        <w:rPr>
          <w:rFonts w:ascii="Calibri" w:eastAsia="Times New Roman" w:hAnsi="Calibri" w:cs="Arial"/>
          <w:color w:val="9BBB59"/>
          <w:sz w:val="48"/>
          <w:szCs w:val="48"/>
        </w:rPr>
      </w:pPr>
      <w:r>
        <w:rPr>
          <w:rFonts w:ascii="Calibri" w:eastAsia="Times New Roman" w:hAnsi="Calibri" w:cs="Arial"/>
          <w:noProof/>
          <w:color w:val="9BBB59"/>
          <w:sz w:val="48"/>
          <w:szCs w:val="48"/>
        </w:rPr>
        <w:drawing>
          <wp:anchor distT="0" distB="0" distL="114300" distR="114300" simplePos="0" relativeHeight="251657216" behindDoc="1" locked="0" layoutInCell="1" allowOverlap="1">
            <wp:simplePos x="0" y="0"/>
            <wp:positionH relativeFrom="page">
              <wp:posOffset>683895</wp:posOffset>
            </wp:positionH>
            <wp:positionV relativeFrom="page">
              <wp:posOffset>581660</wp:posOffset>
            </wp:positionV>
            <wp:extent cx="1928495" cy="700405"/>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928495" cy="700405"/>
                    </a:xfrm>
                    <a:prstGeom prst="rect">
                      <a:avLst/>
                    </a:prstGeom>
                    <a:noFill/>
                    <a:ln w="12700">
                      <a:noFill/>
                      <a:miter lim="800000"/>
                      <a:headEnd/>
                      <a:tailEnd/>
                    </a:ln>
                  </pic:spPr>
                </pic:pic>
              </a:graphicData>
            </a:graphic>
          </wp:anchor>
        </w:drawing>
      </w:r>
      <w:r w:rsidR="00724C15">
        <w:rPr>
          <w:rFonts w:ascii="Calibri" w:eastAsia="Times New Roman" w:hAnsi="Calibri" w:cs="Arial"/>
          <w:noProof/>
          <w:color w:val="9BBB59"/>
          <w:sz w:val="48"/>
          <w:szCs w:val="48"/>
        </w:rPr>
        <w:t>ICMA 2012</w:t>
      </w:r>
    </w:p>
    <w:p w:rsidR="006F39B6" w:rsidRPr="000633D3" w:rsidRDefault="00724C15" w:rsidP="00851A47">
      <w:pPr>
        <w:spacing w:line="276" w:lineRule="auto"/>
        <w:jc w:val="right"/>
        <w:rPr>
          <w:rFonts w:ascii="Calibri" w:eastAsia="Times New Roman" w:hAnsi="Calibri" w:cs="Arial"/>
          <w:color w:val="9BBB59"/>
          <w:sz w:val="48"/>
          <w:szCs w:val="48"/>
        </w:rPr>
      </w:pPr>
      <w:r>
        <w:rPr>
          <w:rFonts w:ascii="Calibri" w:eastAsia="Times New Roman" w:hAnsi="Calibri" w:cs="Arial"/>
          <w:color w:val="9BBB59"/>
          <w:sz w:val="48"/>
          <w:szCs w:val="48"/>
        </w:rPr>
        <w:t>Program</w:t>
      </w:r>
      <w:r w:rsidR="006F39B6" w:rsidRPr="000633D3">
        <w:rPr>
          <w:rFonts w:ascii="Calibri" w:eastAsia="Times New Roman" w:hAnsi="Calibri" w:cs="Arial"/>
          <w:color w:val="9BBB59"/>
          <w:sz w:val="48"/>
          <w:szCs w:val="48"/>
        </w:rPr>
        <w:t xml:space="preserve"> Excellence Awards</w:t>
      </w:r>
    </w:p>
    <w:p w:rsidR="006F39B6" w:rsidRDefault="006F39B6"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6F39B6" w:rsidRDefault="006F39B6"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851A47" w:rsidRDefault="00851A47" w:rsidP="00851A47">
      <w:pPr>
        <w:jc w:val="right"/>
        <w:rPr>
          <w:rFonts w:ascii="Arial" w:eastAsia="Times New Roman" w:hAnsi="Arial" w:cs="Arial"/>
          <w:color w:val="9BBB59"/>
          <w:sz w:val="48"/>
          <w:szCs w:val="48"/>
        </w:rPr>
      </w:pPr>
    </w:p>
    <w:p w:rsidR="006F39B6" w:rsidRPr="000633D3" w:rsidRDefault="00724C15" w:rsidP="00851A47">
      <w:pPr>
        <w:spacing w:line="276" w:lineRule="auto"/>
        <w:jc w:val="right"/>
        <w:rPr>
          <w:rFonts w:ascii="Calibri" w:eastAsia="Times New Roman" w:hAnsi="Calibri" w:cs="Arial"/>
          <w:color w:val="9BBB59"/>
          <w:sz w:val="48"/>
          <w:szCs w:val="48"/>
        </w:rPr>
      </w:pPr>
      <w:r>
        <w:rPr>
          <w:rFonts w:ascii="Calibri" w:eastAsia="Times New Roman" w:hAnsi="Calibri" w:cs="Arial"/>
          <w:color w:val="9BBB59"/>
          <w:sz w:val="48"/>
          <w:szCs w:val="48"/>
        </w:rPr>
        <w:t xml:space="preserve">Community </w:t>
      </w:r>
      <w:r w:rsidR="000F31CA">
        <w:rPr>
          <w:rFonts w:ascii="Calibri" w:eastAsia="Times New Roman" w:hAnsi="Calibri" w:cs="Arial"/>
          <w:color w:val="9BBB59"/>
          <w:sz w:val="48"/>
          <w:szCs w:val="48"/>
        </w:rPr>
        <w:t>Sustainability</w:t>
      </w:r>
      <w:r>
        <w:rPr>
          <w:rFonts w:ascii="Calibri" w:eastAsia="Times New Roman" w:hAnsi="Calibri" w:cs="Arial"/>
          <w:color w:val="9BBB59"/>
          <w:sz w:val="48"/>
          <w:szCs w:val="48"/>
        </w:rPr>
        <w:t xml:space="preserve"> Award</w:t>
      </w:r>
    </w:p>
    <w:p w:rsidR="006F39B6" w:rsidRPr="000633D3" w:rsidRDefault="006F39B6" w:rsidP="00851A47">
      <w:pPr>
        <w:spacing w:line="276" w:lineRule="auto"/>
        <w:jc w:val="right"/>
        <w:rPr>
          <w:rFonts w:ascii="Calibri" w:eastAsia="Times New Roman" w:hAnsi="Calibri" w:cs="Arial"/>
          <w:color w:val="404040"/>
          <w:sz w:val="32"/>
          <w:szCs w:val="32"/>
        </w:rPr>
      </w:pPr>
      <w:r w:rsidRPr="000633D3">
        <w:rPr>
          <w:rFonts w:ascii="Calibri" w:eastAsia="Times New Roman" w:hAnsi="Calibri" w:cs="Arial"/>
          <w:color w:val="404040"/>
          <w:sz w:val="32"/>
          <w:szCs w:val="32"/>
        </w:rPr>
        <w:t>City of Surrey</w:t>
      </w:r>
    </w:p>
    <w:p w:rsidR="006F39B6" w:rsidRPr="000633D3" w:rsidRDefault="000F31CA" w:rsidP="00851A47">
      <w:pPr>
        <w:spacing w:line="276" w:lineRule="auto"/>
        <w:jc w:val="right"/>
        <w:rPr>
          <w:rFonts w:ascii="Calibri" w:eastAsia="Times New Roman" w:hAnsi="Calibri" w:cs="Arial"/>
          <w:color w:val="404040"/>
          <w:sz w:val="32"/>
          <w:szCs w:val="32"/>
        </w:rPr>
      </w:pPr>
      <w:r>
        <w:rPr>
          <w:rFonts w:ascii="Calibri" w:eastAsia="Times New Roman" w:hAnsi="Calibri" w:cs="Arial"/>
          <w:color w:val="404040"/>
          <w:sz w:val="32"/>
          <w:szCs w:val="32"/>
        </w:rPr>
        <w:t>Corporate Emissions Action Plan</w:t>
      </w:r>
    </w:p>
    <w:p w:rsidR="006F39B6" w:rsidRPr="000633D3" w:rsidRDefault="00724C15" w:rsidP="00851A47">
      <w:pPr>
        <w:tabs>
          <w:tab w:val="left" w:pos="1800"/>
        </w:tabs>
        <w:spacing w:line="276" w:lineRule="auto"/>
        <w:jc w:val="right"/>
        <w:rPr>
          <w:rFonts w:ascii="Calibri" w:hAnsi="Calibri"/>
          <w:sz w:val="32"/>
          <w:szCs w:val="32"/>
        </w:rPr>
      </w:pPr>
      <w:r>
        <w:rPr>
          <w:rFonts w:ascii="Calibri" w:eastAsia="Times New Roman" w:hAnsi="Calibri" w:cs="Arial"/>
          <w:color w:val="404040"/>
          <w:sz w:val="32"/>
          <w:szCs w:val="32"/>
        </w:rPr>
        <w:t>50,000 and Greater</w:t>
      </w:r>
    </w:p>
    <w:p w:rsidR="004F1764" w:rsidRPr="00157571" w:rsidRDefault="006F39B6" w:rsidP="0078368A">
      <w:pPr>
        <w:tabs>
          <w:tab w:val="left" w:pos="1800"/>
        </w:tabs>
        <w:jc w:val="center"/>
        <w:rPr>
          <w:rFonts w:ascii="Arial" w:hAnsi="Arial"/>
          <w:b/>
          <w:color w:val="3C6D28"/>
          <w:sz w:val="22"/>
          <w:szCs w:val="22"/>
        </w:rPr>
      </w:pPr>
      <w:r>
        <w:rPr>
          <w:rFonts w:ascii="Arial" w:hAnsi="Arial"/>
          <w:color w:val="3C6D28"/>
          <w:sz w:val="28"/>
        </w:rPr>
        <w:br w:type="page"/>
      </w:r>
    </w:p>
    <w:p w:rsidR="003824EC" w:rsidRDefault="003824EC" w:rsidP="003824EC">
      <w:pPr>
        <w:pStyle w:val="Heading1"/>
        <w:jc w:val="center"/>
        <w:rPr>
          <w:kern w:val="0"/>
        </w:rPr>
      </w:pPr>
    </w:p>
    <w:p w:rsidR="003824EC" w:rsidRPr="002A12E4" w:rsidRDefault="009C3D51" w:rsidP="003824EC">
      <w:pPr>
        <w:tabs>
          <w:tab w:val="center" w:pos="4680"/>
        </w:tabs>
      </w:pPr>
      <w:r>
        <w:rPr>
          <w:noProof/>
        </w:rPr>
        <w:drawing>
          <wp:anchor distT="0" distB="0" distL="114300" distR="114300" simplePos="0" relativeHeight="251658240" behindDoc="1" locked="0" layoutInCell="1" allowOverlap="1">
            <wp:simplePos x="0" y="0"/>
            <wp:positionH relativeFrom="column">
              <wp:align>center</wp:align>
            </wp:positionH>
            <wp:positionV relativeFrom="page">
              <wp:posOffset>457200</wp:posOffset>
            </wp:positionV>
            <wp:extent cx="2222500" cy="546100"/>
            <wp:effectExtent l="19050" t="0" r="6350" b="0"/>
            <wp:wrapNone/>
            <wp:docPr id="7" name="Picture 2" descr="ICMA Master Stack Tag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MA Master Stack Tag COL.jpg"/>
                    <pic:cNvPicPr>
                      <a:picLocks noChangeAspect="1" noChangeArrowheads="1"/>
                    </pic:cNvPicPr>
                  </pic:nvPicPr>
                  <pic:blipFill>
                    <a:blip r:embed="rId9"/>
                    <a:srcRect/>
                    <a:stretch>
                      <a:fillRect/>
                    </a:stretch>
                  </pic:blipFill>
                  <pic:spPr bwMode="auto">
                    <a:xfrm>
                      <a:off x="0" y="0"/>
                      <a:ext cx="2222500" cy="546100"/>
                    </a:xfrm>
                    <a:prstGeom prst="rect">
                      <a:avLst/>
                    </a:prstGeom>
                    <a:noFill/>
                    <a:ln w="9525">
                      <a:noFill/>
                      <a:miter lim="800000"/>
                      <a:headEnd/>
                      <a:tailEnd/>
                    </a:ln>
                  </pic:spPr>
                </pic:pic>
              </a:graphicData>
            </a:graphic>
          </wp:anchor>
        </w:drawing>
      </w:r>
      <w:r w:rsidR="003824EC">
        <w:tab/>
      </w:r>
      <w:r w:rsidR="003824EC">
        <w:rPr>
          <w:rFonts w:ascii="Verdana" w:hAnsi="Verdana" w:cs="Verdana"/>
          <w:color w:val="005597"/>
          <w:sz w:val="28"/>
          <w:szCs w:val="28"/>
        </w:rPr>
        <w:t>2012</w:t>
      </w:r>
      <w:r w:rsidR="003824EC" w:rsidRPr="0025643E">
        <w:rPr>
          <w:rFonts w:ascii="Verdana" w:hAnsi="Verdana" w:cs="Verdana"/>
          <w:color w:val="005597"/>
          <w:sz w:val="28"/>
          <w:szCs w:val="28"/>
        </w:rPr>
        <w:t xml:space="preserve"> Annual Awards Program</w:t>
      </w:r>
    </w:p>
    <w:p w:rsidR="003824EC" w:rsidRPr="0025643E" w:rsidRDefault="003824EC" w:rsidP="003824EC">
      <w:pPr>
        <w:pStyle w:val="Heading2"/>
        <w:jc w:val="center"/>
        <w:rPr>
          <w:rFonts w:ascii="Verdana" w:hAnsi="Verdana" w:cs="Verdana"/>
          <w:i w:val="0"/>
          <w:iCs w:val="0"/>
          <w:color w:val="005597"/>
        </w:rPr>
      </w:pPr>
      <w:r w:rsidRPr="0025643E">
        <w:rPr>
          <w:rFonts w:ascii="Verdana" w:hAnsi="Verdana" w:cs="Verdana"/>
          <w:i w:val="0"/>
          <w:iCs w:val="0"/>
          <w:color w:val="005597"/>
        </w:rPr>
        <w:t>Program Excellence Awards Nomination Form</w:t>
      </w:r>
    </w:p>
    <w:p w:rsidR="003824EC" w:rsidRPr="00226D1B" w:rsidRDefault="003824EC" w:rsidP="003824EC">
      <w:pPr>
        <w:pStyle w:val="Heading2"/>
        <w:jc w:val="center"/>
        <w:rPr>
          <w:rFonts w:ascii="Verdana" w:hAnsi="Verdana" w:cs="Verdana"/>
          <w:i w:val="0"/>
          <w:iCs w:val="0"/>
          <w:color w:val="000000"/>
          <w:sz w:val="22"/>
          <w:szCs w:val="22"/>
        </w:rPr>
      </w:pPr>
      <w:r w:rsidRPr="00226D1B">
        <w:rPr>
          <w:rFonts w:ascii="Verdana" w:hAnsi="Verdana" w:cs="Verdana"/>
          <w:i w:val="0"/>
          <w:iCs w:val="0"/>
          <w:color w:val="000000"/>
          <w:sz w:val="22"/>
          <w:szCs w:val="22"/>
        </w:rPr>
        <w:t xml:space="preserve">Deadline for Nominations: March </w:t>
      </w:r>
      <w:r>
        <w:rPr>
          <w:rFonts w:ascii="Verdana" w:hAnsi="Verdana" w:cs="Verdana"/>
          <w:i w:val="0"/>
          <w:iCs w:val="0"/>
          <w:color w:val="000000"/>
          <w:sz w:val="22"/>
          <w:szCs w:val="22"/>
        </w:rPr>
        <w:t>16</w:t>
      </w:r>
      <w:r w:rsidRPr="00226D1B">
        <w:rPr>
          <w:rFonts w:ascii="Verdana" w:hAnsi="Verdana" w:cs="Verdana"/>
          <w:i w:val="0"/>
          <w:iCs w:val="0"/>
          <w:color w:val="000000"/>
          <w:sz w:val="22"/>
          <w:szCs w:val="22"/>
        </w:rPr>
        <w:t>,</w:t>
      </w:r>
      <w:r>
        <w:rPr>
          <w:rFonts w:ascii="Verdana" w:hAnsi="Verdana" w:cs="Verdana"/>
          <w:i w:val="0"/>
          <w:iCs w:val="0"/>
          <w:color w:val="000000"/>
          <w:sz w:val="22"/>
          <w:szCs w:val="22"/>
        </w:rPr>
        <w:t xml:space="preserve"> 2012</w:t>
      </w:r>
    </w:p>
    <w:p w:rsidR="003824EC" w:rsidRPr="005B0F0E" w:rsidRDefault="003824EC" w:rsidP="003824EC">
      <w:pPr>
        <w:pStyle w:val="Default"/>
        <w:rPr>
          <w:rFonts w:ascii="Verdana" w:hAnsi="Verdana" w:cs="Verdana"/>
          <w:sz w:val="22"/>
          <w:szCs w:val="22"/>
        </w:rPr>
      </w:pPr>
    </w:p>
    <w:p w:rsidR="003824EC" w:rsidRPr="005B0F0E" w:rsidRDefault="003824EC" w:rsidP="003824EC">
      <w:pPr>
        <w:pStyle w:val="Default"/>
        <w:rPr>
          <w:rFonts w:ascii="Verdana" w:hAnsi="Verdana" w:cs="Verdana"/>
          <w:sz w:val="22"/>
          <w:szCs w:val="22"/>
        </w:rPr>
      </w:pPr>
      <w:r w:rsidRPr="005B0F0E">
        <w:rPr>
          <w:rFonts w:ascii="Verdana" w:hAnsi="Verdana" w:cs="Verdana"/>
          <w:sz w:val="22"/>
          <w:szCs w:val="22"/>
        </w:rPr>
        <w:t xml:space="preserve">Complete this form </w:t>
      </w:r>
      <w:r>
        <w:rPr>
          <w:rFonts w:ascii="Verdana" w:hAnsi="Verdana" w:cs="Verdana"/>
          <w:sz w:val="22"/>
          <w:szCs w:val="22"/>
        </w:rPr>
        <w:t xml:space="preserve">(sections 1 and 2) </w:t>
      </w:r>
      <w:r w:rsidRPr="005B0F0E">
        <w:rPr>
          <w:rFonts w:ascii="Verdana" w:hAnsi="Verdana" w:cs="Verdana"/>
          <w:sz w:val="22"/>
          <w:szCs w:val="22"/>
        </w:rPr>
        <w:t>and</w:t>
      </w:r>
      <w:r>
        <w:rPr>
          <w:rFonts w:ascii="Verdana" w:hAnsi="Verdana" w:cs="Verdana"/>
          <w:sz w:val="22"/>
          <w:szCs w:val="22"/>
        </w:rPr>
        <w:t xml:space="preserve"> submit with</w:t>
      </w:r>
      <w:r w:rsidRPr="005B0F0E">
        <w:rPr>
          <w:rFonts w:ascii="Verdana" w:hAnsi="Verdana" w:cs="Verdana"/>
          <w:sz w:val="22"/>
          <w:szCs w:val="22"/>
        </w:rPr>
        <w:t xml:space="preserve"> your descriptive narrative. </w:t>
      </w:r>
    </w:p>
    <w:p w:rsidR="003824EC" w:rsidRDefault="003824EC" w:rsidP="003824EC">
      <w:pPr>
        <w:pStyle w:val="Heading3"/>
        <w:rPr>
          <w:rFonts w:ascii="Verdana" w:hAnsi="Verdana" w:cs="Verdana"/>
          <w:color w:val="005597"/>
          <w:sz w:val="22"/>
          <w:szCs w:val="22"/>
        </w:rPr>
      </w:pPr>
      <w:r w:rsidRPr="0025643E">
        <w:rPr>
          <w:rFonts w:ascii="Verdana" w:hAnsi="Verdana" w:cs="Verdana"/>
          <w:color w:val="005597"/>
          <w:sz w:val="22"/>
          <w:szCs w:val="22"/>
        </w:rPr>
        <w:t xml:space="preserve">SECTION 1: Information </w:t>
      </w:r>
      <w:proofErr w:type="gramStart"/>
      <w:r w:rsidRPr="0025643E">
        <w:rPr>
          <w:rFonts w:ascii="Verdana" w:hAnsi="Verdana" w:cs="Verdana"/>
          <w:color w:val="005597"/>
          <w:sz w:val="22"/>
          <w:szCs w:val="22"/>
        </w:rPr>
        <w:t>About</w:t>
      </w:r>
      <w:proofErr w:type="gramEnd"/>
      <w:r w:rsidRPr="0025643E">
        <w:rPr>
          <w:rFonts w:ascii="Verdana" w:hAnsi="Verdana" w:cs="Verdana"/>
          <w:color w:val="005597"/>
          <w:sz w:val="22"/>
          <w:szCs w:val="22"/>
        </w:rPr>
        <w:t xml:space="preserve"> the Nominated Program</w:t>
      </w:r>
    </w:p>
    <w:p w:rsidR="003824EC" w:rsidRPr="005B0F0E" w:rsidRDefault="003824EC" w:rsidP="003824EC">
      <w:pPr>
        <w:pStyle w:val="Default"/>
        <w:spacing w:after="120"/>
        <w:rPr>
          <w:rFonts w:ascii="Verdana" w:hAnsi="Verdana" w:cs="Verdana"/>
          <w:sz w:val="22"/>
          <w:szCs w:val="22"/>
        </w:rPr>
      </w:pPr>
      <w:r w:rsidRPr="0027211C">
        <w:rPr>
          <w:rFonts w:ascii="Verdana" w:hAnsi="Verdana" w:cs="Verdana"/>
          <w:sz w:val="22"/>
          <w:szCs w:val="22"/>
        </w:rPr>
        <w:t>Program Excellence Award Category</w:t>
      </w:r>
      <w:r w:rsidRPr="005B0F0E">
        <w:rPr>
          <w:rFonts w:ascii="Verdana" w:hAnsi="Verdana" w:cs="Verdana"/>
          <w:sz w:val="22"/>
          <w:szCs w:val="22"/>
        </w:rPr>
        <w:t xml:space="preserve"> </w:t>
      </w:r>
      <w:r w:rsidRPr="0027211C">
        <w:rPr>
          <w:rFonts w:ascii="Verdana" w:hAnsi="Verdana" w:cs="Verdana"/>
          <w:i/>
          <w:iCs/>
          <w:sz w:val="22"/>
          <w:szCs w:val="22"/>
        </w:rPr>
        <w:t>(select only one)</w:t>
      </w:r>
      <w:r w:rsidRPr="005B0F0E">
        <w:rPr>
          <w:rFonts w:ascii="Verdana" w:hAnsi="Verdana" w:cs="Verdana"/>
          <w:sz w:val="22"/>
          <w:szCs w:val="22"/>
        </w:rPr>
        <w:t>:</w:t>
      </w:r>
    </w:p>
    <w:p w:rsidR="003824EC" w:rsidRPr="005B7680" w:rsidRDefault="003824EC" w:rsidP="003824EC">
      <w:pPr>
        <w:pStyle w:val="Default"/>
        <w:spacing w:after="120"/>
        <w:ind w:left="720"/>
        <w:rPr>
          <w:rFonts w:ascii="Verdana" w:hAnsi="Verdana" w:cs="Verdana"/>
          <w:sz w:val="22"/>
          <w:szCs w:val="22"/>
        </w:rPr>
      </w:pPr>
      <w:r w:rsidRPr="005B7680">
        <w:rPr>
          <w:rFonts w:ascii="Verdana" w:hAnsi="Verdana" w:cs="Verdana"/>
          <w:sz w:val="22"/>
          <w:szCs w:val="22"/>
        </w:rPr>
        <w:tab/>
        <w:t xml:space="preserve">Community Health and Safety </w:t>
      </w:r>
    </w:p>
    <w:p w:rsidR="003824EC" w:rsidRPr="005B7680" w:rsidRDefault="003824EC" w:rsidP="003824EC">
      <w:pPr>
        <w:pStyle w:val="Default"/>
        <w:spacing w:after="120"/>
        <w:ind w:left="720"/>
        <w:rPr>
          <w:rFonts w:ascii="Verdana" w:hAnsi="Verdana" w:cs="Verdana"/>
          <w:sz w:val="22"/>
          <w:szCs w:val="22"/>
        </w:rPr>
      </w:pPr>
      <w:r w:rsidRPr="005B7680">
        <w:rPr>
          <w:rFonts w:ascii="Verdana" w:hAnsi="Verdana" w:cs="Verdana"/>
          <w:sz w:val="22"/>
          <w:szCs w:val="22"/>
        </w:rPr>
        <w:tab/>
        <w:t xml:space="preserve">Community Partnership </w:t>
      </w:r>
    </w:p>
    <w:p w:rsidR="003824EC" w:rsidRPr="005B7680" w:rsidRDefault="004F7337" w:rsidP="003824EC">
      <w:pPr>
        <w:pStyle w:val="Default"/>
        <w:spacing w:after="120"/>
        <w:ind w:left="720"/>
        <w:rPr>
          <w:rFonts w:ascii="Verdana" w:hAnsi="Verdana" w:cs="Verdana"/>
          <w:sz w:val="22"/>
          <w:szCs w:val="22"/>
        </w:rPr>
      </w:pPr>
      <w:r>
        <w:rPr>
          <w:rFonts w:ascii="Verdana" w:hAnsi="Verdana" w:cs="Verdana"/>
          <w:sz w:val="22"/>
          <w:szCs w:val="22"/>
        </w:rPr>
        <w:t>X</w:t>
      </w:r>
      <w:r w:rsidR="003824EC" w:rsidRPr="005B7680">
        <w:rPr>
          <w:rFonts w:ascii="Verdana" w:hAnsi="Verdana" w:cs="Verdana"/>
          <w:sz w:val="22"/>
          <w:szCs w:val="22"/>
        </w:rPr>
        <w:tab/>
        <w:t xml:space="preserve">Community Sustainability </w:t>
      </w:r>
    </w:p>
    <w:p w:rsidR="003824EC" w:rsidRDefault="003824EC" w:rsidP="003824EC">
      <w:pPr>
        <w:pStyle w:val="Default"/>
        <w:spacing w:after="120"/>
        <w:ind w:left="720"/>
        <w:rPr>
          <w:rFonts w:ascii="Verdana" w:hAnsi="Verdana" w:cs="Verdana"/>
        </w:rPr>
      </w:pPr>
      <w:r w:rsidRPr="005B7680">
        <w:rPr>
          <w:rFonts w:ascii="Verdana" w:hAnsi="Verdana" w:cs="Verdana"/>
          <w:sz w:val="22"/>
          <w:szCs w:val="22"/>
        </w:rPr>
        <w:tab/>
        <w:t xml:space="preserve">Strategic </w:t>
      </w:r>
      <w:r w:rsidRPr="009D68B7">
        <w:rPr>
          <w:rFonts w:ascii="Verdana" w:hAnsi="Verdana" w:cs="Verdana"/>
          <w:sz w:val="22"/>
          <w:szCs w:val="22"/>
        </w:rPr>
        <w:t>Lea</w:t>
      </w:r>
      <w:r w:rsidRPr="009D68B7">
        <w:rPr>
          <w:rFonts w:ascii="Verdana" w:hAnsi="Verdana" w:cs="Verdana"/>
          <w:sz w:val="22"/>
        </w:rPr>
        <w:t>dership and Governance</w:t>
      </w:r>
    </w:p>
    <w:tbl>
      <w:tblPr>
        <w:tblW w:w="0" w:type="auto"/>
        <w:tblLayout w:type="fixed"/>
        <w:tblCellMar>
          <w:left w:w="115" w:type="dxa"/>
          <w:right w:w="115" w:type="dxa"/>
        </w:tblCellMar>
        <w:tblLook w:val="01E0"/>
      </w:tblPr>
      <w:tblGrid>
        <w:gridCol w:w="2538"/>
        <w:gridCol w:w="2250"/>
        <w:gridCol w:w="277"/>
        <w:gridCol w:w="2117"/>
        <w:gridCol w:w="2394"/>
      </w:tblGrid>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Name of program being nominated:</w:t>
            </w:r>
          </w:p>
        </w:tc>
        <w:tc>
          <w:tcPr>
            <w:tcW w:w="7038" w:type="dxa"/>
            <w:gridSpan w:val="4"/>
          </w:tcPr>
          <w:p w:rsidR="003824EC" w:rsidRPr="00C6477E" w:rsidRDefault="004F7337" w:rsidP="0019501A">
            <w:pPr>
              <w:pStyle w:val="Default"/>
              <w:spacing w:before="80" w:after="80"/>
              <w:rPr>
                <w:rFonts w:ascii="Verdana" w:hAnsi="Verdana" w:cs="Verdana"/>
                <w:sz w:val="22"/>
                <w:szCs w:val="22"/>
                <w:u w:val="single"/>
              </w:rPr>
            </w:pPr>
            <w:r>
              <w:rPr>
                <w:rFonts w:ascii="Verdana" w:hAnsi="Verdana" w:cs="Verdana"/>
                <w:sz w:val="22"/>
                <w:szCs w:val="22"/>
                <w:u w:val="single"/>
              </w:rPr>
              <w:t>Corporate Emissions Action Plan</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Jurisdiction(s) where program originated:</w:t>
            </w:r>
          </w:p>
        </w:tc>
        <w:tc>
          <w:tcPr>
            <w:tcW w:w="7038" w:type="dxa"/>
            <w:gridSpan w:val="4"/>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 xml:space="preserve">City </w:t>
            </w:r>
            <w:r>
              <w:rPr>
                <w:rFonts w:ascii="Verdana" w:hAnsi="Verdana" w:cs="Verdana"/>
                <w:sz w:val="22"/>
                <w:szCs w:val="22"/>
                <w:u w:val="single"/>
              </w:rPr>
              <w:t>of Surrey</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Jurisdiction population(s):</w:t>
            </w:r>
          </w:p>
        </w:tc>
        <w:tc>
          <w:tcPr>
            <w:tcW w:w="7038" w:type="dxa"/>
            <w:gridSpan w:val="4"/>
          </w:tcPr>
          <w:p w:rsidR="003824EC" w:rsidRPr="00C6477E" w:rsidRDefault="003824EC" w:rsidP="0019501A">
            <w:pPr>
              <w:pStyle w:val="Default"/>
              <w:spacing w:before="80" w:after="80"/>
              <w:rPr>
                <w:rFonts w:ascii="Verdana" w:hAnsi="Verdana" w:cs="Verdana"/>
                <w:sz w:val="22"/>
                <w:szCs w:val="22"/>
              </w:rPr>
            </w:pPr>
            <w:r>
              <w:rPr>
                <w:rFonts w:ascii="Verdana" w:hAnsi="Verdana" w:cs="Verdana"/>
                <w:sz w:val="22"/>
                <w:szCs w:val="22"/>
                <w:u w:val="single"/>
              </w:rPr>
              <w:t>484</w:t>
            </w:r>
            <w:r w:rsidRPr="00C6477E">
              <w:rPr>
                <w:rFonts w:ascii="Verdana" w:hAnsi="Verdana" w:cs="Verdana"/>
                <w:sz w:val="22"/>
                <w:szCs w:val="22"/>
                <w:u w:val="single"/>
              </w:rPr>
              <w:t>,000</w:t>
            </w:r>
          </w:p>
        </w:tc>
      </w:tr>
      <w:tr w:rsidR="003824EC" w:rsidTr="0019501A">
        <w:tc>
          <w:tcPr>
            <w:tcW w:w="9576" w:type="dxa"/>
            <w:gridSpan w:val="5"/>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Please indicate the month and year in which the program you are nominating was fully implemented. (Note: All Program Excellence Award nominations must have been fully implemented by or before January 31, 2011, to be eligible. The start date should not include the initial planning phase.)</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Month:</w:t>
            </w:r>
          </w:p>
        </w:tc>
        <w:tc>
          <w:tcPr>
            <w:tcW w:w="2250" w:type="dxa"/>
          </w:tcPr>
          <w:p w:rsidR="003824EC" w:rsidRPr="00C6477E" w:rsidRDefault="003824EC" w:rsidP="0019501A">
            <w:pPr>
              <w:pStyle w:val="Default"/>
              <w:spacing w:before="80" w:after="80"/>
              <w:rPr>
                <w:rFonts w:ascii="Verdana" w:hAnsi="Verdana" w:cs="Verdana"/>
                <w:sz w:val="22"/>
                <w:szCs w:val="22"/>
              </w:rPr>
            </w:pPr>
          </w:p>
        </w:tc>
        <w:tc>
          <w:tcPr>
            <w:tcW w:w="2394" w:type="dxa"/>
            <w:gridSpan w:val="2"/>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Year:</w:t>
            </w:r>
          </w:p>
        </w:tc>
        <w:tc>
          <w:tcPr>
            <w:tcW w:w="2394" w:type="dxa"/>
          </w:tcPr>
          <w:p w:rsidR="003824EC" w:rsidRPr="00C6477E" w:rsidRDefault="004F7337" w:rsidP="0019501A">
            <w:pPr>
              <w:pStyle w:val="Default"/>
              <w:spacing w:before="80" w:after="80"/>
              <w:rPr>
                <w:rFonts w:ascii="Verdana" w:hAnsi="Verdana" w:cs="Verdana"/>
                <w:sz w:val="22"/>
                <w:szCs w:val="22"/>
              </w:rPr>
            </w:pPr>
            <w:r>
              <w:rPr>
                <w:rFonts w:ascii="Verdana" w:hAnsi="Verdana" w:cs="Verdana"/>
                <w:sz w:val="22"/>
                <w:szCs w:val="22"/>
                <w:u w:val="single"/>
              </w:rPr>
              <w:t>2009</w:t>
            </w:r>
          </w:p>
        </w:tc>
      </w:tr>
      <w:tr w:rsidR="003824EC" w:rsidTr="0019501A">
        <w:tc>
          <w:tcPr>
            <w:tcW w:w="9576" w:type="dxa"/>
            <w:gridSpan w:val="5"/>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Name(s) and title(s) of individual(s) who should receive recognition for this award at the ICMA Annual Conference in Phoenix, Arizona, October 2012. (Each individual listed MUST be an ICMA member to be recognized.):</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Name:</w:t>
            </w:r>
          </w:p>
        </w:tc>
        <w:tc>
          <w:tcPr>
            <w:tcW w:w="7038" w:type="dxa"/>
            <w:gridSpan w:val="4"/>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Murray Dinwoodie</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Title:</w:t>
            </w:r>
          </w:p>
        </w:tc>
        <w:tc>
          <w:tcPr>
            <w:tcW w:w="2527" w:type="dxa"/>
            <w:gridSpan w:val="2"/>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City Manager</w:t>
            </w:r>
          </w:p>
        </w:tc>
        <w:tc>
          <w:tcPr>
            <w:tcW w:w="2117"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Jurisdiction:</w:t>
            </w:r>
          </w:p>
        </w:tc>
        <w:tc>
          <w:tcPr>
            <w:tcW w:w="2394"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City of Surrey, British Columbia</w:t>
            </w:r>
          </w:p>
        </w:tc>
      </w:tr>
    </w:tbl>
    <w:p w:rsidR="00322A04" w:rsidRDefault="00322A04" w:rsidP="003824EC">
      <w:pPr>
        <w:pStyle w:val="Heading3"/>
        <w:spacing w:before="80" w:after="80"/>
        <w:rPr>
          <w:rFonts w:ascii="Verdana" w:hAnsi="Verdana" w:cs="Verdana"/>
          <w:color w:val="005597"/>
          <w:sz w:val="22"/>
          <w:szCs w:val="22"/>
        </w:rPr>
      </w:pPr>
    </w:p>
    <w:p w:rsidR="00322A04" w:rsidRDefault="00322A04" w:rsidP="00322A04">
      <w:pPr>
        <w:rPr>
          <w:rFonts w:eastAsia="Times New Roman"/>
        </w:rPr>
      </w:pPr>
      <w:r>
        <w:br w:type="page"/>
      </w:r>
    </w:p>
    <w:p w:rsidR="003824EC" w:rsidRPr="005F2E13" w:rsidRDefault="003824EC" w:rsidP="003824EC">
      <w:pPr>
        <w:pStyle w:val="Heading3"/>
        <w:spacing w:before="80" w:after="80"/>
        <w:rPr>
          <w:rFonts w:ascii="Verdana" w:hAnsi="Verdana" w:cs="Verdana"/>
          <w:color w:val="005597"/>
          <w:sz w:val="22"/>
          <w:szCs w:val="22"/>
        </w:rPr>
      </w:pPr>
      <w:r w:rsidRPr="005F2E13">
        <w:rPr>
          <w:rFonts w:ascii="Verdana" w:hAnsi="Verdana" w:cs="Verdana"/>
          <w:color w:val="005597"/>
          <w:sz w:val="22"/>
          <w:szCs w:val="22"/>
        </w:rPr>
        <w:lastRenderedPageBreak/>
        <w:t xml:space="preserve">SECTION 2: Information </w:t>
      </w:r>
      <w:proofErr w:type="gramStart"/>
      <w:r w:rsidRPr="005F2E13">
        <w:rPr>
          <w:rFonts w:ascii="Verdana" w:hAnsi="Verdana" w:cs="Verdana"/>
          <w:color w:val="005597"/>
          <w:sz w:val="22"/>
          <w:szCs w:val="22"/>
        </w:rPr>
        <w:t>About</w:t>
      </w:r>
      <w:proofErr w:type="gramEnd"/>
      <w:r w:rsidRPr="005F2E13">
        <w:rPr>
          <w:rFonts w:ascii="Verdana" w:hAnsi="Verdana" w:cs="Verdana"/>
          <w:color w:val="005597"/>
          <w:sz w:val="22"/>
          <w:szCs w:val="22"/>
        </w:rPr>
        <w:t xml:space="preserve"> the Nominator/Primary Contact </w:t>
      </w:r>
    </w:p>
    <w:tbl>
      <w:tblPr>
        <w:tblW w:w="0" w:type="auto"/>
        <w:tblLook w:val="01E0"/>
      </w:tblPr>
      <w:tblGrid>
        <w:gridCol w:w="2538"/>
        <w:gridCol w:w="2250"/>
        <w:gridCol w:w="455"/>
        <w:gridCol w:w="1939"/>
        <w:gridCol w:w="2394"/>
      </w:tblGrid>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Name of contact:</w:t>
            </w:r>
          </w:p>
        </w:tc>
        <w:tc>
          <w:tcPr>
            <w:tcW w:w="7038" w:type="dxa"/>
            <w:gridSpan w:val="4"/>
          </w:tcPr>
          <w:p w:rsidR="003824EC" w:rsidRPr="00C6477E" w:rsidRDefault="003824EC" w:rsidP="0019501A">
            <w:pPr>
              <w:pStyle w:val="Default"/>
              <w:spacing w:before="80" w:after="80"/>
              <w:rPr>
                <w:rFonts w:ascii="Verdana" w:hAnsi="Verdana" w:cs="Verdana"/>
                <w:sz w:val="22"/>
                <w:szCs w:val="22"/>
              </w:rPr>
            </w:pPr>
            <w:r>
              <w:rPr>
                <w:rFonts w:ascii="Verdana" w:hAnsi="Verdana" w:cs="Verdana"/>
                <w:sz w:val="22"/>
                <w:szCs w:val="22"/>
              </w:rPr>
              <w:t>Michael McGreer</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Title:</w:t>
            </w:r>
          </w:p>
        </w:tc>
        <w:tc>
          <w:tcPr>
            <w:tcW w:w="2705" w:type="dxa"/>
            <w:gridSpan w:val="2"/>
          </w:tcPr>
          <w:p w:rsidR="003824EC" w:rsidRPr="00C6477E" w:rsidRDefault="003824EC" w:rsidP="0019501A">
            <w:pPr>
              <w:pStyle w:val="Default"/>
              <w:spacing w:before="80" w:after="80"/>
              <w:rPr>
                <w:rFonts w:ascii="Verdana" w:hAnsi="Verdana" w:cs="Verdana"/>
                <w:sz w:val="22"/>
                <w:szCs w:val="22"/>
              </w:rPr>
            </w:pPr>
            <w:r>
              <w:rPr>
                <w:rFonts w:ascii="Verdana" w:hAnsi="Verdana" w:cs="Verdana"/>
                <w:sz w:val="22"/>
                <w:szCs w:val="22"/>
              </w:rPr>
              <w:t>Economic Development Analyst</w:t>
            </w:r>
          </w:p>
        </w:tc>
        <w:tc>
          <w:tcPr>
            <w:tcW w:w="1939"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Jurisdiction:</w:t>
            </w:r>
          </w:p>
        </w:tc>
        <w:tc>
          <w:tcPr>
            <w:tcW w:w="2394"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City of Surrey, British Columbia</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Street address:</w:t>
            </w:r>
          </w:p>
        </w:tc>
        <w:tc>
          <w:tcPr>
            <w:tcW w:w="7038" w:type="dxa"/>
            <w:gridSpan w:val="4"/>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14245-56 Avenue</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City:</w:t>
            </w:r>
          </w:p>
        </w:tc>
        <w:tc>
          <w:tcPr>
            <w:tcW w:w="2250"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Surrey</w:t>
            </w:r>
          </w:p>
        </w:tc>
        <w:tc>
          <w:tcPr>
            <w:tcW w:w="2394" w:type="dxa"/>
            <w:gridSpan w:val="2"/>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State/Province:</w:t>
            </w:r>
          </w:p>
        </w:tc>
        <w:tc>
          <w:tcPr>
            <w:tcW w:w="2394"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BC</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Zip/Postal Code:</w:t>
            </w:r>
          </w:p>
        </w:tc>
        <w:tc>
          <w:tcPr>
            <w:tcW w:w="2250"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V3X 3A2</w:t>
            </w:r>
          </w:p>
        </w:tc>
        <w:tc>
          <w:tcPr>
            <w:tcW w:w="2394" w:type="dxa"/>
            <w:gridSpan w:val="2"/>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Country:</w:t>
            </w:r>
          </w:p>
        </w:tc>
        <w:tc>
          <w:tcPr>
            <w:tcW w:w="2394"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Canada</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Telephone:</w:t>
            </w:r>
          </w:p>
        </w:tc>
        <w:tc>
          <w:tcPr>
            <w:tcW w:w="2250"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604-591-41</w:t>
            </w:r>
            <w:r>
              <w:rPr>
                <w:rFonts w:ascii="Verdana" w:hAnsi="Verdana" w:cs="Verdana"/>
                <w:sz w:val="22"/>
                <w:szCs w:val="22"/>
                <w:u w:val="single"/>
              </w:rPr>
              <w:t>51</w:t>
            </w:r>
          </w:p>
        </w:tc>
        <w:tc>
          <w:tcPr>
            <w:tcW w:w="2394" w:type="dxa"/>
            <w:gridSpan w:val="2"/>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Fax:</w:t>
            </w:r>
          </w:p>
        </w:tc>
        <w:tc>
          <w:tcPr>
            <w:tcW w:w="2394"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u w:val="single"/>
              </w:rPr>
              <w:t>604-59</w:t>
            </w:r>
            <w:r>
              <w:rPr>
                <w:rFonts w:ascii="Verdana" w:hAnsi="Verdana" w:cs="Verdana"/>
                <w:sz w:val="22"/>
                <w:szCs w:val="22"/>
                <w:u w:val="single"/>
              </w:rPr>
              <w:t>4</w:t>
            </w:r>
            <w:r w:rsidRPr="00C6477E">
              <w:rPr>
                <w:rFonts w:ascii="Verdana" w:hAnsi="Verdana" w:cs="Verdana"/>
                <w:sz w:val="22"/>
                <w:szCs w:val="22"/>
                <w:u w:val="single"/>
              </w:rPr>
              <w:t>-</w:t>
            </w:r>
            <w:r>
              <w:rPr>
                <w:rFonts w:ascii="Verdana" w:hAnsi="Verdana" w:cs="Verdana"/>
                <w:sz w:val="22"/>
                <w:szCs w:val="22"/>
                <w:u w:val="single"/>
              </w:rPr>
              <w:t>3055</w:t>
            </w:r>
          </w:p>
        </w:tc>
      </w:tr>
      <w:tr w:rsidR="003824EC" w:rsidTr="0019501A">
        <w:tc>
          <w:tcPr>
            <w:tcW w:w="2538" w:type="dxa"/>
          </w:tcPr>
          <w:p w:rsidR="003824EC" w:rsidRPr="00C6477E" w:rsidRDefault="003824EC" w:rsidP="0019501A">
            <w:pPr>
              <w:pStyle w:val="Default"/>
              <w:spacing w:before="80" w:after="80"/>
              <w:rPr>
                <w:rFonts w:ascii="Verdana" w:hAnsi="Verdana" w:cs="Verdana"/>
                <w:sz w:val="22"/>
                <w:szCs w:val="22"/>
              </w:rPr>
            </w:pPr>
            <w:r w:rsidRPr="00C6477E">
              <w:rPr>
                <w:rFonts w:ascii="Verdana" w:hAnsi="Verdana" w:cs="Verdana"/>
                <w:sz w:val="22"/>
                <w:szCs w:val="22"/>
              </w:rPr>
              <w:t>E-mail:</w:t>
            </w:r>
          </w:p>
        </w:tc>
        <w:tc>
          <w:tcPr>
            <w:tcW w:w="7038" w:type="dxa"/>
            <w:gridSpan w:val="4"/>
          </w:tcPr>
          <w:p w:rsidR="003824EC" w:rsidRPr="00C6477E" w:rsidRDefault="003824EC" w:rsidP="0019501A">
            <w:pPr>
              <w:pStyle w:val="Default"/>
              <w:spacing w:before="80" w:after="80"/>
              <w:rPr>
                <w:rFonts w:ascii="Verdana" w:hAnsi="Verdana" w:cs="Verdana"/>
                <w:sz w:val="22"/>
                <w:szCs w:val="22"/>
              </w:rPr>
            </w:pPr>
            <w:r>
              <w:rPr>
                <w:rFonts w:ascii="Verdana" w:hAnsi="Verdana" w:cs="Verdana"/>
                <w:sz w:val="22"/>
                <w:szCs w:val="22"/>
                <w:u w:val="single"/>
              </w:rPr>
              <w:t>mmcgreer@surrey.ca</w:t>
            </w:r>
            <w:r w:rsidRPr="00C6477E">
              <w:rPr>
                <w:rFonts w:ascii="Verdana" w:hAnsi="Verdana" w:cs="Verdana"/>
                <w:sz w:val="22"/>
                <w:szCs w:val="22"/>
                <w:u w:val="single"/>
              </w:rPr>
              <w:t xml:space="preserve"> </w:t>
            </w:r>
          </w:p>
        </w:tc>
      </w:tr>
    </w:tbl>
    <w:p w:rsidR="003824EC" w:rsidRDefault="003824EC" w:rsidP="003824EC">
      <w:pPr>
        <w:pStyle w:val="Default"/>
        <w:rPr>
          <w:rFonts w:ascii="Verdana" w:hAnsi="Verdana" w:cs="Verdana"/>
          <w:sz w:val="22"/>
          <w:szCs w:val="22"/>
        </w:rPr>
      </w:pPr>
    </w:p>
    <w:p w:rsidR="003824EC" w:rsidRDefault="003824EC" w:rsidP="003824EC">
      <w:pPr>
        <w:pStyle w:val="Default"/>
        <w:rPr>
          <w:rFonts w:ascii="Verdana" w:hAnsi="Verdana" w:cs="Verdana"/>
          <w:sz w:val="22"/>
          <w:szCs w:val="22"/>
        </w:rPr>
      </w:pPr>
    </w:p>
    <w:p w:rsidR="003824EC" w:rsidRPr="00226D1B" w:rsidRDefault="003824EC" w:rsidP="003824EC">
      <w:pPr>
        <w:pStyle w:val="Heading3"/>
        <w:pBdr>
          <w:top w:val="single" w:sz="4" w:space="1" w:color="auto"/>
          <w:left w:val="single" w:sz="4" w:space="4" w:color="auto"/>
          <w:bottom w:val="single" w:sz="4" w:space="1" w:color="auto"/>
          <w:right w:val="single" w:sz="4" w:space="4" w:color="auto"/>
        </w:pBdr>
        <w:rPr>
          <w:rFonts w:ascii="Verdana" w:hAnsi="Verdana" w:cs="Verdana"/>
          <w:color w:val="005597"/>
          <w:sz w:val="22"/>
          <w:szCs w:val="22"/>
        </w:rPr>
      </w:pPr>
      <w:r w:rsidRPr="00226D1B">
        <w:rPr>
          <w:rFonts w:ascii="Verdana" w:hAnsi="Verdana" w:cs="Verdana"/>
          <w:color w:val="005597"/>
          <w:sz w:val="22"/>
          <w:szCs w:val="22"/>
        </w:rPr>
        <w:t xml:space="preserve">Submitting a Nomination </w:t>
      </w:r>
    </w:p>
    <w:p w:rsidR="003824EC" w:rsidRPr="00A233D4" w:rsidRDefault="003824EC" w:rsidP="003824EC">
      <w:pPr>
        <w:pStyle w:val="Default"/>
        <w:pBdr>
          <w:top w:val="single" w:sz="4" w:space="1" w:color="auto"/>
          <w:left w:val="single" w:sz="4" w:space="4" w:color="auto"/>
          <w:bottom w:val="single" w:sz="4" w:space="1" w:color="auto"/>
          <w:right w:val="single" w:sz="4" w:space="4" w:color="auto"/>
        </w:pBdr>
      </w:pPr>
      <w:r w:rsidRPr="005B0F0E">
        <w:rPr>
          <w:rFonts w:ascii="Verdana" w:hAnsi="Verdana" w:cs="Verdana"/>
          <w:sz w:val="22"/>
          <w:szCs w:val="22"/>
        </w:rPr>
        <w:t xml:space="preserve">Forward the nomination form and descriptive narrative to be received at ICMA by close of business on </w:t>
      </w:r>
      <w:r w:rsidRPr="00EF35EA">
        <w:rPr>
          <w:rFonts w:ascii="Verdana" w:hAnsi="Verdana" w:cs="Verdana"/>
          <w:b/>
          <w:sz w:val="22"/>
          <w:szCs w:val="22"/>
        </w:rPr>
        <w:t xml:space="preserve">March </w:t>
      </w:r>
      <w:r>
        <w:rPr>
          <w:rFonts w:ascii="Verdana" w:hAnsi="Verdana" w:cs="Verdana"/>
          <w:b/>
          <w:sz w:val="22"/>
          <w:szCs w:val="22"/>
        </w:rPr>
        <w:t>16</w:t>
      </w:r>
      <w:r w:rsidRPr="00EF35EA">
        <w:rPr>
          <w:rFonts w:ascii="Verdana" w:hAnsi="Verdana" w:cs="Verdana"/>
          <w:b/>
          <w:sz w:val="22"/>
          <w:szCs w:val="22"/>
        </w:rPr>
        <w:t>, 201</w:t>
      </w:r>
      <w:r>
        <w:rPr>
          <w:rFonts w:ascii="Verdana" w:hAnsi="Verdana" w:cs="Verdana"/>
          <w:b/>
          <w:sz w:val="22"/>
          <w:szCs w:val="22"/>
        </w:rPr>
        <w:t>2</w:t>
      </w:r>
      <w:r w:rsidRPr="005B0F0E">
        <w:rPr>
          <w:rFonts w:ascii="Verdana" w:hAnsi="Verdana" w:cs="Verdana"/>
          <w:sz w:val="22"/>
          <w:szCs w:val="22"/>
        </w:rPr>
        <w:t xml:space="preserve">. </w:t>
      </w:r>
      <w:r>
        <w:rPr>
          <w:rFonts w:ascii="Verdana" w:hAnsi="Verdana" w:cs="Verdana"/>
          <w:sz w:val="22"/>
          <w:szCs w:val="22"/>
        </w:rPr>
        <w:t>Please email all submissions</w:t>
      </w:r>
      <w:r w:rsidRPr="005B0F0E">
        <w:rPr>
          <w:rFonts w:ascii="Verdana" w:hAnsi="Verdana" w:cs="Verdana"/>
          <w:sz w:val="22"/>
          <w:szCs w:val="22"/>
        </w:rPr>
        <w:t xml:space="preserve"> to: </w:t>
      </w:r>
      <w:hyperlink r:id="rId10" w:history="1">
        <w:r w:rsidRPr="005B0F0E">
          <w:rPr>
            <w:rStyle w:val="Hyperlink"/>
            <w:rFonts w:ascii="Verdana" w:hAnsi="Verdana" w:cs="Verdana"/>
            <w:sz w:val="22"/>
            <w:szCs w:val="22"/>
          </w:rPr>
          <w:t>awards@icma.org</w:t>
        </w:r>
      </w:hyperlink>
      <w:r>
        <w:t>.</w:t>
      </w:r>
      <w:r w:rsidRPr="005B0F0E">
        <w:rPr>
          <w:rFonts w:ascii="Verdana" w:hAnsi="Verdana" w:cs="Verdana"/>
          <w:sz w:val="22"/>
          <w:szCs w:val="22"/>
        </w:rPr>
        <w:t xml:space="preserve"> </w:t>
      </w:r>
    </w:p>
    <w:p w:rsidR="003824EC" w:rsidRPr="005B0F0E" w:rsidRDefault="003824EC" w:rsidP="003824EC">
      <w:pPr>
        <w:pStyle w:val="Default"/>
        <w:pBdr>
          <w:top w:val="single" w:sz="4" w:space="1" w:color="auto"/>
          <w:left w:val="single" w:sz="4" w:space="4" w:color="auto"/>
          <w:bottom w:val="single" w:sz="4" w:space="1" w:color="auto"/>
          <w:right w:val="single" w:sz="4" w:space="4" w:color="auto"/>
        </w:pBdr>
        <w:rPr>
          <w:rFonts w:ascii="Verdana" w:hAnsi="Verdana" w:cs="Verdana"/>
          <w:sz w:val="22"/>
          <w:szCs w:val="22"/>
        </w:rPr>
      </w:pPr>
    </w:p>
    <w:p w:rsidR="003824EC" w:rsidRPr="005B0F0E" w:rsidRDefault="003824EC" w:rsidP="003824EC">
      <w:pPr>
        <w:pStyle w:val="Default"/>
        <w:pBdr>
          <w:top w:val="single" w:sz="4" w:space="1" w:color="auto"/>
          <w:left w:val="single" w:sz="4" w:space="4" w:color="auto"/>
          <w:bottom w:val="single" w:sz="4" w:space="1" w:color="auto"/>
          <w:right w:val="single" w:sz="4" w:space="4" w:color="auto"/>
        </w:pBdr>
        <w:rPr>
          <w:rFonts w:ascii="Verdana" w:hAnsi="Verdana" w:cs="Verdana"/>
          <w:sz w:val="22"/>
          <w:szCs w:val="22"/>
        </w:rPr>
      </w:pPr>
      <w:r w:rsidRPr="005B0F0E">
        <w:rPr>
          <w:rFonts w:ascii="Verdana" w:hAnsi="Verdana" w:cs="Verdana"/>
          <w:sz w:val="22"/>
          <w:szCs w:val="22"/>
        </w:rPr>
        <w:t xml:space="preserve">Questions should be addressed to ICMA’s Awards Program at </w:t>
      </w:r>
      <w:hyperlink r:id="rId11" w:history="1">
        <w:r w:rsidRPr="005B0F0E">
          <w:rPr>
            <w:rStyle w:val="Hyperlink"/>
            <w:rFonts w:ascii="Verdana" w:hAnsi="Verdana" w:cs="Verdana"/>
            <w:sz w:val="22"/>
            <w:szCs w:val="22"/>
          </w:rPr>
          <w:t>awards@icma.org</w:t>
        </w:r>
      </w:hyperlink>
      <w:r w:rsidRPr="005B0F0E">
        <w:rPr>
          <w:rFonts w:ascii="Verdana" w:hAnsi="Verdana" w:cs="Verdana"/>
          <w:sz w:val="22"/>
          <w:szCs w:val="22"/>
        </w:rPr>
        <w:t xml:space="preserve"> or 202/</w:t>
      </w:r>
      <w:r>
        <w:rPr>
          <w:rFonts w:ascii="Verdana" w:hAnsi="Verdana" w:cs="Verdana"/>
          <w:sz w:val="22"/>
          <w:szCs w:val="22"/>
        </w:rPr>
        <w:t>962-3656</w:t>
      </w:r>
      <w:r w:rsidRPr="005B0F0E">
        <w:rPr>
          <w:rFonts w:ascii="Verdana" w:hAnsi="Verdana" w:cs="Verdana"/>
          <w:sz w:val="22"/>
          <w:szCs w:val="22"/>
        </w:rPr>
        <w:t>.</w:t>
      </w:r>
    </w:p>
    <w:p w:rsidR="003824EC" w:rsidRDefault="003824EC" w:rsidP="003824EC">
      <w:pPr>
        <w:pStyle w:val="Default"/>
        <w:rPr>
          <w:rFonts w:ascii="Verdana" w:hAnsi="Verdana" w:cs="Verdana"/>
          <w:sz w:val="22"/>
          <w:szCs w:val="22"/>
        </w:rPr>
      </w:pPr>
    </w:p>
    <w:p w:rsidR="003824EC" w:rsidRDefault="003824EC" w:rsidP="003824EC">
      <w:pPr>
        <w:pStyle w:val="Default"/>
        <w:rPr>
          <w:rFonts w:ascii="Verdana" w:hAnsi="Verdana" w:cs="Verdana"/>
          <w:sz w:val="22"/>
          <w:szCs w:val="22"/>
        </w:rPr>
      </w:pPr>
    </w:p>
    <w:p w:rsidR="003824EC" w:rsidRDefault="003824EC" w:rsidP="003824EC">
      <w:pPr>
        <w:pStyle w:val="Default"/>
        <w:rPr>
          <w:rFonts w:ascii="Verdana" w:hAnsi="Verdana" w:cs="Verdana"/>
          <w:sz w:val="22"/>
          <w:szCs w:val="22"/>
        </w:rPr>
      </w:pPr>
    </w:p>
    <w:p w:rsidR="003824EC" w:rsidRDefault="003824EC" w:rsidP="00724C15">
      <w:pPr>
        <w:tabs>
          <w:tab w:val="left" w:pos="1800"/>
        </w:tabs>
        <w:rPr>
          <w:rFonts w:ascii="Arial" w:hAnsi="Arial" w:cs="Arial"/>
          <w:b/>
          <w:color w:val="3C6D28"/>
          <w:sz w:val="28"/>
          <w:szCs w:val="22"/>
        </w:rPr>
      </w:pPr>
    </w:p>
    <w:p w:rsidR="000F31CA" w:rsidRDefault="000F31CA">
      <w:pPr>
        <w:rPr>
          <w:rFonts w:ascii="Arial" w:hAnsi="Arial" w:cs="Arial"/>
          <w:b/>
          <w:color w:val="3C6D28"/>
          <w:sz w:val="28"/>
          <w:szCs w:val="22"/>
        </w:rPr>
      </w:pPr>
      <w:r>
        <w:rPr>
          <w:rFonts w:ascii="Arial" w:hAnsi="Arial" w:cs="Arial"/>
          <w:b/>
          <w:color w:val="3C6D28"/>
          <w:sz w:val="28"/>
          <w:szCs w:val="22"/>
        </w:rPr>
        <w:br w:type="page"/>
      </w:r>
    </w:p>
    <w:p w:rsidR="004F1764" w:rsidRPr="004037C5" w:rsidRDefault="0078368A" w:rsidP="00724C15">
      <w:pPr>
        <w:tabs>
          <w:tab w:val="left" w:pos="1800"/>
        </w:tabs>
        <w:rPr>
          <w:rFonts w:ascii="Constantia" w:hAnsi="Constantia"/>
          <w:b/>
          <w:color w:val="3C6D28"/>
          <w:szCs w:val="24"/>
        </w:rPr>
      </w:pPr>
      <w:r w:rsidRPr="004037C5">
        <w:rPr>
          <w:rFonts w:ascii="Constantia" w:hAnsi="Constantia"/>
          <w:b/>
          <w:color w:val="3C6D28"/>
          <w:szCs w:val="24"/>
        </w:rPr>
        <w:lastRenderedPageBreak/>
        <w:t>PROJECT SUMMARY</w:t>
      </w:r>
    </w:p>
    <w:p w:rsidR="004F1764" w:rsidRPr="004037C5" w:rsidRDefault="004F1764" w:rsidP="004F1764">
      <w:pPr>
        <w:tabs>
          <w:tab w:val="left" w:pos="1800"/>
        </w:tabs>
        <w:rPr>
          <w:rFonts w:ascii="Constantia" w:hAnsi="Constantia"/>
          <w:szCs w:val="24"/>
        </w:rPr>
      </w:pPr>
    </w:p>
    <w:p w:rsidR="00E13CD1" w:rsidRPr="004037C5" w:rsidRDefault="00E13CD1" w:rsidP="00E13CD1">
      <w:pPr>
        <w:autoSpaceDE w:val="0"/>
        <w:autoSpaceDN w:val="0"/>
        <w:adjustRightInd w:val="0"/>
        <w:spacing w:line="480" w:lineRule="auto"/>
        <w:ind w:firstLine="720"/>
        <w:rPr>
          <w:rFonts w:ascii="Constantia" w:hAnsi="Constantia"/>
          <w:szCs w:val="24"/>
        </w:rPr>
      </w:pPr>
      <w:r w:rsidRPr="004037C5">
        <w:rPr>
          <w:rFonts w:ascii="Constantia" w:hAnsi="Constantia"/>
          <w:szCs w:val="24"/>
        </w:rPr>
        <w:t>In 2008, the City of Surrey signed the BC Climate Action Charter, which states that local governments will agree to develop strategies and take actions to achieve the following goals:</w:t>
      </w:r>
    </w:p>
    <w:p w:rsidR="00E13CD1" w:rsidRPr="004037C5" w:rsidRDefault="00A52272" w:rsidP="00E13CD1">
      <w:pPr>
        <w:pStyle w:val="ListParagraph"/>
        <w:numPr>
          <w:ilvl w:val="0"/>
          <w:numId w:val="26"/>
        </w:numPr>
        <w:rPr>
          <w:sz w:val="24"/>
          <w:szCs w:val="24"/>
        </w:rPr>
      </w:pPr>
      <w:r w:rsidRPr="004037C5">
        <w:rPr>
          <w:sz w:val="24"/>
          <w:szCs w:val="24"/>
        </w:rPr>
        <w:t>Be</w:t>
      </w:r>
      <w:r w:rsidR="00E13CD1" w:rsidRPr="004037C5">
        <w:rPr>
          <w:sz w:val="24"/>
          <w:szCs w:val="24"/>
        </w:rPr>
        <w:t xml:space="preserve"> carbon neutral in respect of their operations by 2012</w:t>
      </w:r>
      <w:r w:rsidRPr="004037C5">
        <w:rPr>
          <w:sz w:val="24"/>
          <w:szCs w:val="24"/>
        </w:rPr>
        <w:t>;</w:t>
      </w:r>
    </w:p>
    <w:p w:rsidR="00E13CD1" w:rsidRPr="004037C5" w:rsidRDefault="00E13CD1" w:rsidP="00E13CD1">
      <w:pPr>
        <w:rPr>
          <w:rFonts w:ascii="Constantia" w:hAnsi="Constantia"/>
          <w:szCs w:val="24"/>
        </w:rPr>
      </w:pPr>
    </w:p>
    <w:p w:rsidR="00E13CD1" w:rsidRPr="004037C5" w:rsidRDefault="00A52272" w:rsidP="00E13CD1">
      <w:pPr>
        <w:pStyle w:val="ListParagraph"/>
        <w:numPr>
          <w:ilvl w:val="0"/>
          <w:numId w:val="26"/>
        </w:numPr>
        <w:rPr>
          <w:sz w:val="24"/>
          <w:szCs w:val="24"/>
        </w:rPr>
      </w:pPr>
      <w:r w:rsidRPr="004037C5">
        <w:rPr>
          <w:sz w:val="24"/>
          <w:szCs w:val="24"/>
        </w:rPr>
        <w:t>Measure and report on their community’s green house gas</w:t>
      </w:r>
      <w:r w:rsidR="004037C5" w:rsidRPr="004037C5">
        <w:rPr>
          <w:sz w:val="24"/>
          <w:szCs w:val="24"/>
        </w:rPr>
        <w:t xml:space="preserve"> </w:t>
      </w:r>
      <w:r w:rsidRPr="004037C5">
        <w:rPr>
          <w:sz w:val="24"/>
          <w:szCs w:val="24"/>
        </w:rPr>
        <w:t>(G</w:t>
      </w:r>
      <w:r w:rsidR="00E13CD1" w:rsidRPr="004037C5">
        <w:rPr>
          <w:sz w:val="24"/>
          <w:szCs w:val="24"/>
        </w:rPr>
        <w:t>HG</w:t>
      </w:r>
      <w:r w:rsidRPr="004037C5">
        <w:rPr>
          <w:sz w:val="24"/>
          <w:szCs w:val="24"/>
        </w:rPr>
        <w:t>)</w:t>
      </w:r>
      <w:r w:rsidR="00E13CD1" w:rsidRPr="004037C5">
        <w:rPr>
          <w:sz w:val="24"/>
          <w:szCs w:val="24"/>
        </w:rPr>
        <w:t xml:space="preserve"> emissions profile; and</w:t>
      </w:r>
    </w:p>
    <w:p w:rsidR="00E13CD1" w:rsidRPr="004037C5" w:rsidRDefault="00E13CD1" w:rsidP="00E13CD1">
      <w:pPr>
        <w:rPr>
          <w:rFonts w:ascii="Constantia" w:hAnsi="Constantia"/>
          <w:szCs w:val="24"/>
        </w:rPr>
      </w:pPr>
    </w:p>
    <w:p w:rsidR="00E13CD1" w:rsidRPr="004037C5" w:rsidRDefault="00A52272" w:rsidP="00E13CD1">
      <w:pPr>
        <w:pStyle w:val="ListParagraph"/>
        <w:numPr>
          <w:ilvl w:val="0"/>
          <w:numId w:val="26"/>
        </w:numPr>
        <w:rPr>
          <w:sz w:val="24"/>
          <w:szCs w:val="24"/>
        </w:rPr>
      </w:pPr>
      <w:r w:rsidRPr="004037C5">
        <w:rPr>
          <w:sz w:val="24"/>
          <w:szCs w:val="24"/>
        </w:rPr>
        <w:t>Create</w:t>
      </w:r>
      <w:r w:rsidR="00E13CD1" w:rsidRPr="004037C5">
        <w:rPr>
          <w:sz w:val="24"/>
          <w:szCs w:val="24"/>
        </w:rPr>
        <w:t xml:space="preserve"> complete, compact, more energy efficient rural and urban communities.</w:t>
      </w:r>
    </w:p>
    <w:p w:rsidR="00E13CD1" w:rsidRPr="004037C5" w:rsidRDefault="00E13CD1" w:rsidP="00D010BD">
      <w:pPr>
        <w:spacing w:line="480" w:lineRule="auto"/>
        <w:ind w:firstLine="720"/>
        <w:rPr>
          <w:rFonts w:ascii="Constantia" w:hAnsi="Constantia"/>
          <w:szCs w:val="24"/>
        </w:rPr>
      </w:pPr>
    </w:p>
    <w:p w:rsidR="00667797" w:rsidRPr="004037C5" w:rsidRDefault="00E13CD1" w:rsidP="00D010BD">
      <w:pPr>
        <w:spacing w:line="480" w:lineRule="auto"/>
        <w:ind w:firstLine="720"/>
        <w:rPr>
          <w:rFonts w:ascii="Constantia" w:hAnsi="Constantia"/>
          <w:szCs w:val="24"/>
        </w:rPr>
      </w:pPr>
      <w:r w:rsidRPr="004037C5">
        <w:rPr>
          <w:rFonts w:ascii="Constantia" w:hAnsi="Constantia"/>
          <w:szCs w:val="24"/>
        </w:rPr>
        <w:t xml:space="preserve">To achieve these goals the City created </w:t>
      </w:r>
      <w:r w:rsidR="00A52272" w:rsidRPr="004037C5">
        <w:rPr>
          <w:rFonts w:ascii="Constantia" w:hAnsi="Constantia"/>
          <w:szCs w:val="24"/>
        </w:rPr>
        <w:t>t</w:t>
      </w:r>
      <w:r w:rsidR="00667797" w:rsidRPr="004037C5">
        <w:rPr>
          <w:rFonts w:ascii="Constantia" w:hAnsi="Constantia"/>
          <w:szCs w:val="24"/>
        </w:rPr>
        <w:t>he Corporate Emissions Action Plan</w:t>
      </w:r>
      <w:r w:rsidR="00A9128C" w:rsidRPr="004037C5">
        <w:rPr>
          <w:rFonts w:ascii="Constantia" w:hAnsi="Constantia"/>
          <w:szCs w:val="24"/>
        </w:rPr>
        <w:t xml:space="preserve"> (CEAP)</w:t>
      </w:r>
      <w:r w:rsidRPr="004037C5">
        <w:rPr>
          <w:rFonts w:ascii="Constantia" w:hAnsi="Constantia"/>
          <w:szCs w:val="24"/>
        </w:rPr>
        <w:t>. Through the CEAP the City establish</w:t>
      </w:r>
      <w:r w:rsidR="00A52272" w:rsidRPr="004037C5">
        <w:rPr>
          <w:rFonts w:ascii="Constantia" w:hAnsi="Constantia"/>
          <w:szCs w:val="24"/>
        </w:rPr>
        <w:t>ed</w:t>
      </w:r>
      <w:r w:rsidRPr="004037C5">
        <w:rPr>
          <w:rFonts w:ascii="Constantia" w:hAnsi="Constantia"/>
          <w:szCs w:val="24"/>
        </w:rPr>
        <w:t xml:space="preserve"> a baseline measurement of its energy use and GHG emissions. The CEAP</w:t>
      </w:r>
      <w:r w:rsidR="00A52272" w:rsidRPr="004037C5">
        <w:rPr>
          <w:rFonts w:ascii="Constantia" w:hAnsi="Constantia"/>
          <w:szCs w:val="24"/>
        </w:rPr>
        <w:t xml:space="preserve"> also </w:t>
      </w:r>
      <w:r w:rsidR="00667797" w:rsidRPr="004037C5">
        <w:rPr>
          <w:rFonts w:ascii="Constantia" w:hAnsi="Constantia"/>
          <w:szCs w:val="24"/>
        </w:rPr>
        <w:t>defines opportunities to reduce energy consumption and GHG emissions from the City’s corporate operations</w:t>
      </w:r>
      <w:r w:rsidRPr="004037C5">
        <w:rPr>
          <w:rFonts w:ascii="Constantia" w:hAnsi="Constantia"/>
          <w:szCs w:val="24"/>
        </w:rPr>
        <w:t xml:space="preserve"> and</w:t>
      </w:r>
      <w:r w:rsidR="00667797" w:rsidRPr="004037C5">
        <w:rPr>
          <w:rFonts w:ascii="Constantia" w:hAnsi="Constantia"/>
          <w:szCs w:val="24"/>
        </w:rPr>
        <w:t xml:space="preserve"> identified 13 actions to reduce emissions in the areas of buildings, fleets, infrastructure, and leadership and engagement.</w:t>
      </w:r>
      <w:r w:rsidR="00281CDA" w:rsidRPr="004037C5">
        <w:rPr>
          <w:rFonts w:ascii="Constantia" w:hAnsi="Constantia"/>
          <w:szCs w:val="24"/>
        </w:rPr>
        <w:t xml:space="preserve"> The initial results are promising,</w:t>
      </w:r>
      <w:r w:rsidR="004037C5" w:rsidRPr="004037C5">
        <w:rPr>
          <w:rFonts w:ascii="Constantia" w:hAnsi="Constantia"/>
          <w:szCs w:val="24"/>
        </w:rPr>
        <w:t xml:space="preserve"> showing a 6.5% decrease in GHG emissions</w:t>
      </w:r>
      <w:r w:rsidR="00281CDA" w:rsidRPr="004037C5">
        <w:rPr>
          <w:rFonts w:ascii="Constantia" w:hAnsi="Constantia"/>
          <w:szCs w:val="24"/>
        </w:rPr>
        <w:t xml:space="preserve"> between 2009 and 2010.</w:t>
      </w:r>
    </w:p>
    <w:p w:rsidR="00D010BD" w:rsidRPr="004037C5" w:rsidRDefault="00D010BD" w:rsidP="00D010BD">
      <w:pPr>
        <w:rPr>
          <w:rFonts w:ascii="Constantia" w:hAnsi="Constantia"/>
          <w:szCs w:val="24"/>
        </w:rPr>
      </w:pPr>
    </w:p>
    <w:p w:rsidR="00724C15" w:rsidRPr="004037C5" w:rsidRDefault="00724C15" w:rsidP="00D010BD">
      <w:pPr>
        <w:tabs>
          <w:tab w:val="left" w:pos="1800"/>
        </w:tabs>
        <w:spacing w:line="480" w:lineRule="auto"/>
        <w:rPr>
          <w:rFonts w:ascii="Constantia" w:hAnsi="Constantia"/>
          <w:b/>
          <w:color w:val="3C6D28"/>
          <w:szCs w:val="24"/>
        </w:rPr>
      </w:pPr>
      <w:r w:rsidRPr="004037C5">
        <w:rPr>
          <w:rFonts w:ascii="Constantia" w:hAnsi="Constantia"/>
          <w:b/>
          <w:color w:val="3C6D28"/>
          <w:szCs w:val="24"/>
        </w:rPr>
        <w:t>PROBLEM ASSESSMENT</w:t>
      </w:r>
    </w:p>
    <w:p w:rsidR="00667797" w:rsidRPr="004037C5" w:rsidRDefault="002D1106" w:rsidP="00D010BD">
      <w:pPr>
        <w:pStyle w:val="Default"/>
        <w:spacing w:line="480" w:lineRule="auto"/>
        <w:ind w:firstLine="720"/>
        <w:rPr>
          <w:rFonts w:cs="Times New Roman"/>
        </w:rPr>
      </w:pPr>
      <w:r w:rsidRPr="004037C5">
        <w:rPr>
          <w:rFonts w:cs="Times New Roman"/>
        </w:rPr>
        <w:t xml:space="preserve">The City of Surrey has committed to tracking its corporate energy use and GHG emissions as well as reducing its energy use to meet its obligations under the BC Climate Action Charter. Furthermore, Surrey has committed to reducing its GHG emissions 20% per capita by 2020 and 80% per capita by 2050. </w:t>
      </w:r>
    </w:p>
    <w:p w:rsidR="00C7320A" w:rsidRPr="004037C5" w:rsidRDefault="00C7320A" w:rsidP="00D010BD">
      <w:pPr>
        <w:pStyle w:val="Default"/>
        <w:spacing w:line="480" w:lineRule="auto"/>
        <w:ind w:firstLine="720"/>
        <w:rPr>
          <w:rFonts w:cs="Times New Roman"/>
        </w:rPr>
      </w:pPr>
    </w:p>
    <w:p w:rsidR="00C7320A" w:rsidRPr="004037C5" w:rsidRDefault="00C7320A" w:rsidP="00D010BD">
      <w:pPr>
        <w:pStyle w:val="Default"/>
        <w:spacing w:line="480" w:lineRule="auto"/>
        <w:ind w:firstLine="720"/>
        <w:rPr>
          <w:rFonts w:cs="Times New Roman"/>
        </w:rPr>
      </w:pPr>
    </w:p>
    <w:p w:rsidR="00724C15" w:rsidRPr="004037C5" w:rsidRDefault="00724C15" w:rsidP="00D010BD">
      <w:pPr>
        <w:tabs>
          <w:tab w:val="left" w:pos="1800"/>
        </w:tabs>
        <w:spacing w:line="480" w:lineRule="auto"/>
        <w:rPr>
          <w:rFonts w:ascii="Constantia" w:hAnsi="Constantia"/>
          <w:szCs w:val="24"/>
        </w:rPr>
      </w:pPr>
    </w:p>
    <w:p w:rsidR="00157571" w:rsidRPr="004037C5" w:rsidRDefault="00157571" w:rsidP="00D010BD">
      <w:pPr>
        <w:tabs>
          <w:tab w:val="left" w:pos="1800"/>
        </w:tabs>
        <w:spacing w:line="480" w:lineRule="auto"/>
        <w:rPr>
          <w:rFonts w:ascii="Constantia" w:hAnsi="Constantia"/>
          <w:b/>
          <w:color w:val="3C6D28"/>
          <w:szCs w:val="24"/>
        </w:rPr>
      </w:pPr>
      <w:r w:rsidRPr="004037C5">
        <w:rPr>
          <w:rFonts w:ascii="Constantia" w:hAnsi="Constantia"/>
          <w:b/>
          <w:color w:val="3C6D28"/>
          <w:szCs w:val="24"/>
        </w:rPr>
        <w:lastRenderedPageBreak/>
        <w:t>PROGRAM IMPLEMENTATION</w:t>
      </w:r>
      <w:r w:rsidR="0065748F" w:rsidRPr="004037C5">
        <w:rPr>
          <w:rFonts w:ascii="Constantia" w:hAnsi="Constantia"/>
          <w:b/>
          <w:color w:val="3C6D28"/>
          <w:szCs w:val="24"/>
        </w:rPr>
        <w:t xml:space="preserve"> AND OUTCOMES</w:t>
      </w:r>
    </w:p>
    <w:p w:rsidR="0065748F" w:rsidRPr="004037C5" w:rsidRDefault="00A9128C" w:rsidP="00D010BD">
      <w:pPr>
        <w:autoSpaceDE w:val="0"/>
        <w:autoSpaceDN w:val="0"/>
        <w:spacing w:line="480" w:lineRule="auto"/>
        <w:ind w:firstLine="720"/>
        <w:rPr>
          <w:rFonts w:ascii="Constantia" w:hAnsi="Constantia"/>
          <w:color w:val="000000" w:themeColor="text1"/>
          <w:szCs w:val="24"/>
        </w:rPr>
      </w:pPr>
      <w:r w:rsidRPr="004037C5">
        <w:rPr>
          <w:rFonts w:ascii="Constantia" w:hAnsi="Constantia"/>
          <w:color w:val="000000" w:themeColor="text1"/>
          <w:szCs w:val="24"/>
        </w:rPr>
        <w:t xml:space="preserve">The first phase of the CEAP has focused on </w:t>
      </w:r>
      <w:r w:rsidR="00031FCE" w:rsidRPr="004037C5">
        <w:rPr>
          <w:rFonts w:ascii="Constantia" w:hAnsi="Constantia"/>
          <w:color w:val="000000" w:themeColor="text1"/>
          <w:szCs w:val="24"/>
        </w:rPr>
        <w:t xml:space="preserve">making </w:t>
      </w:r>
      <w:r w:rsidRPr="004037C5">
        <w:rPr>
          <w:rFonts w:ascii="Constantia" w:hAnsi="Constantia"/>
          <w:color w:val="000000" w:themeColor="text1"/>
          <w:szCs w:val="24"/>
        </w:rPr>
        <w:t>city buildings</w:t>
      </w:r>
      <w:r w:rsidR="00031FCE" w:rsidRPr="004037C5">
        <w:rPr>
          <w:rFonts w:ascii="Constantia" w:hAnsi="Constantia"/>
          <w:color w:val="000000" w:themeColor="text1"/>
          <w:szCs w:val="24"/>
        </w:rPr>
        <w:t xml:space="preserve"> more energy efficient</w:t>
      </w:r>
      <w:r w:rsidRPr="004037C5">
        <w:rPr>
          <w:rFonts w:ascii="Constantia" w:hAnsi="Constantia"/>
          <w:color w:val="000000" w:themeColor="text1"/>
          <w:szCs w:val="24"/>
        </w:rPr>
        <w:t>. Building</w:t>
      </w:r>
      <w:r w:rsidR="00031FCE" w:rsidRPr="004037C5">
        <w:rPr>
          <w:rFonts w:ascii="Constantia" w:hAnsi="Constantia"/>
          <w:color w:val="000000" w:themeColor="text1"/>
          <w:szCs w:val="24"/>
        </w:rPr>
        <w:t xml:space="preserve">s </w:t>
      </w:r>
      <w:r w:rsidRPr="004037C5">
        <w:rPr>
          <w:rFonts w:ascii="Constantia" w:hAnsi="Constantia"/>
          <w:color w:val="000000" w:themeColor="text1"/>
          <w:szCs w:val="24"/>
        </w:rPr>
        <w:t xml:space="preserve">provide ‘low-hanging fruit’ where the City can achieve significant energy conservation and GHG reductions in the near-term. </w:t>
      </w:r>
      <w:r w:rsidR="00932817" w:rsidRPr="004037C5">
        <w:rPr>
          <w:rFonts w:ascii="Constantia" w:hAnsi="Constantia"/>
          <w:color w:val="000000" w:themeColor="text1"/>
          <w:szCs w:val="24"/>
        </w:rPr>
        <w:t>There is another strategic reason for the focus on buildings as the first priority of the CEAP. The City is undergoing a period of rapid growth. According to the 2011 census, Surrey is the third fastest</w:t>
      </w:r>
      <w:r w:rsidR="00031FCE" w:rsidRPr="004037C5">
        <w:rPr>
          <w:rFonts w:ascii="Constantia" w:hAnsi="Constantia"/>
          <w:color w:val="000000" w:themeColor="text1"/>
          <w:szCs w:val="24"/>
        </w:rPr>
        <w:t>-</w:t>
      </w:r>
      <w:r w:rsidR="00932817" w:rsidRPr="004037C5">
        <w:rPr>
          <w:rFonts w:ascii="Constantia" w:hAnsi="Constantia"/>
          <w:color w:val="000000" w:themeColor="text1"/>
          <w:szCs w:val="24"/>
        </w:rPr>
        <w:t xml:space="preserve">growing city in Canada. To accommodate the rapid growth the City has initiated a significant capital works program. The CEAP </w:t>
      </w:r>
      <w:r w:rsidR="00C456B4" w:rsidRPr="004037C5">
        <w:rPr>
          <w:rFonts w:ascii="Constantia" w:hAnsi="Constantia"/>
          <w:color w:val="000000" w:themeColor="text1"/>
          <w:szCs w:val="24"/>
        </w:rPr>
        <w:t>is focused on</w:t>
      </w:r>
      <w:r w:rsidR="00E82922" w:rsidRPr="004037C5">
        <w:rPr>
          <w:rFonts w:ascii="Constantia" w:hAnsi="Constantia"/>
          <w:color w:val="000000" w:themeColor="text1"/>
          <w:szCs w:val="24"/>
        </w:rPr>
        <w:t xml:space="preserve"> capitalizing on the opportunity presented by the construction of new city-owned building</w:t>
      </w:r>
      <w:r w:rsidR="00031FCE" w:rsidRPr="004037C5">
        <w:rPr>
          <w:rFonts w:ascii="Constantia" w:hAnsi="Constantia"/>
          <w:color w:val="000000" w:themeColor="text1"/>
          <w:szCs w:val="24"/>
        </w:rPr>
        <w:t>s</w:t>
      </w:r>
      <w:r w:rsidR="00E82922" w:rsidRPr="004037C5">
        <w:rPr>
          <w:rFonts w:ascii="Constantia" w:hAnsi="Constantia"/>
          <w:color w:val="000000" w:themeColor="text1"/>
          <w:szCs w:val="24"/>
        </w:rPr>
        <w:t xml:space="preserve"> by ensuring</w:t>
      </w:r>
      <w:r w:rsidR="00031FCE" w:rsidRPr="004037C5">
        <w:rPr>
          <w:rFonts w:ascii="Constantia" w:hAnsi="Constantia"/>
          <w:color w:val="000000" w:themeColor="text1"/>
          <w:szCs w:val="24"/>
        </w:rPr>
        <w:t xml:space="preserve"> the</w:t>
      </w:r>
      <w:r w:rsidR="00C456B4" w:rsidRPr="004037C5">
        <w:rPr>
          <w:rFonts w:ascii="Constantia" w:hAnsi="Constantia"/>
          <w:color w:val="000000" w:themeColor="text1"/>
          <w:szCs w:val="24"/>
        </w:rPr>
        <w:t xml:space="preserve"> new buildings</w:t>
      </w:r>
      <w:r w:rsidR="00031FCE" w:rsidRPr="004037C5">
        <w:rPr>
          <w:rFonts w:ascii="Constantia" w:hAnsi="Constantia"/>
          <w:color w:val="000000" w:themeColor="text1"/>
          <w:szCs w:val="24"/>
        </w:rPr>
        <w:t xml:space="preserve"> are</w:t>
      </w:r>
      <w:r w:rsidR="00C456B4" w:rsidRPr="004037C5">
        <w:rPr>
          <w:rFonts w:ascii="Constantia" w:hAnsi="Constantia"/>
          <w:color w:val="000000" w:themeColor="text1"/>
          <w:szCs w:val="24"/>
        </w:rPr>
        <w:t xml:space="preserve"> more energy efficient</w:t>
      </w:r>
      <w:r w:rsidR="00031FCE" w:rsidRPr="004037C5">
        <w:rPr>
          <w:rFonts w:ascii="Constantia" w:hAnsi="Constantia"/>
          <w:color w:val="000000" w:themeColor="text1"/>
          <w:szCs w:val="24"/>
        </w:rPr>
        <w:t>.  This section outlines</w:t>
      </w:r>
      <w:r w:rsidR="00E82922" w:rsidRPr="004037C5">
        <w:rPr>
          <w:rFonts w:ascii="Constantia" w:hAnsi="Constantia"/>
          <w:color w:val="000000" w:themeColor="text1"/>
          <w:szCs w:val="24"/>
        </w:rPr>
        <w:t xml:space="preserve"> 3 strategies to reduce energy use in buildings and</w:t>
      </w:r>
      <w:r w:rsidR="00031FCE" w:rsidRPr="004037C5">
        <w:rPr>
          <w:rFonts w:ascii="Constantia" w:hAnsi="Constantia"/>
          <w:color w:val="000000" w:themeColor="text1"/>
          <w:szCs w:val="24"/>
        </w:rPr>
        <w:t xml:space="preserve"> identifies</w:t>
      </w:r>
      <w:r w:rsidR="00E82922" w:rsidRPr="004037C5">
        <w:rPr>
          <w:rFonts w:ascii="Constantia" w:hAnsi="Constantia"/>
          <w:color w:val="000000" w:themeColor="text1"/>
          <w:szCs w:val="24"/>
        </w:rPr>
        <w:t xml:space="preserve"> the realized o</w:t>
      </w:r>
      <w:r w:rsidR="00031FCE" w:rsidRPr="004037C5">
        <w:rPr>
          <w:rFonts w:ascii="Constantia" w:hAnsi="Constantia"/>
          <w:color w:val="000000" w:themeColor="text1"/>
          <w:szCs w:val="24"/>
        </w:rPr>
        <w:t>r anticipated energy savings where possible.</w:t>
      </w:r>
    </w:p>
    <w:p w:rsidR="00E82922" w:rsidRPr="004037C5" w:rsidRDefault="00E82922" w:rsidP="00D010BD">
      <w:pPr>
        <w:autoSpaceDE w:val="0"/>
        <w:autoSpaceDN w:val="0"/>
        <w:spacing w:line="480" w:lineRule="auto"/>
        <w:ind w:firstLine="720"/>
        <w:rPr>
          <w:rFonts w:ascii="Constantia" w:hAnsi="Constantia"/>
          <w:color w:val="000000" w:themeColor="text1"/>
          <w:szCs w:val="24"/>
        </w:rPr>
      </w:pPr>
    </w:p>
    <w:p w:rsidR="0065748F" w:rsidRPr="004037C5" w:rsidRDefault="00E82922" w:rsidP="00E82922">
      <w:pPr>
        <w:pStyle w:val="ListParagraph"/>
        <w:numPr>
          <w:ilvl w:val="0"/>
          <w:numId w:val="27"/>
        </w:numPr>
        <w:autoSpaceDE w:val="0"/>
        <w:autoSpaceDN w:val="0"/>
        <w:spacing w:line="480" w:lineRule="auto"/>
        <w:rPr>
          <w:b/>
          <w:color w:val="000000" w:themeColor="text1"/>
          <w:szCs w:val="24"/>
        </w:rPr>
      </w:pPr>
      <w:r w:rsidRPr="004037C5">
        <w:rPr>
          <w:b/>
          <w:color w:val="000000" w:themeColor="text1"/>
          <w:szCs w:val="24"/>
        </w:rPr>
        <w:t>E</w:t>
      </w:r>
      <w:r w:rsidR="0065748F" w:rsidRPr="004037C5">
        <w:rPr>
          <w:b/>
          <w:color w:val="000000" w:themeColor="text1"/>
          <w:szCs w:val="24"/>
        </w:rPr>
        <w:t>nsure high energy performance of new facilities</w:t>
      </w:r>
    </w:p>
    <w:p w:rsidR="004D4B68" w:rsidRPr="004037C5" w:rsidRDefault="004D4B68" w:rsidP="004D4B68">
      <w:pPr>
        <w:pStyle w:val="NoSpacing"/>
        <w:rPr>
          <w:rFonts w:ascii="Constantia" w:hAnsi="Constantia"/>
        </w:rPr>
      </w:pPr>
    </w:p>
    <w:p w:rsidR="00700DD0" w:rsidRPr="004037C5" w:rsidRDefault="00700DD0" w:rsidP="004D4B68">
      <w:pPr>
        <w:pStyle w:val="NoSpacing"/>
        <w:spacing w:line="480" w:lineRule="auto"/>
        <w:rPr>
          <w:rFonts w:ascii="Constantia" w:eastAsiaTheme="minorHAnsi" w:hAnsi="Constantia"/>
        </w:rPr>
      </w:pPr>
      <w:r w:rsidRPr="004037C5">
        <w:rPr>
          <w:rFonts w:ascii="Constantia" w:eastAsiaTheme="minorHAnsi" w:hAnsi="Constantia"/>
          <w:b/>
        </w:rPr>
        <w:t>New City Hall:</w:t>
      </w:r>
      <w:r w:rsidRPr="004037C5">
        <w:rPr>
          <w:rFonts w:ascii="Constantia" w:eastAsiaTheme="minorHAnsi" w:hAnsi="Constantia"/>
        </w:rPr>
        <w:t xml:space="preserve"> The New City Hall, designed in 2011, targets LEED Gold certification and includes a geothermal heating and cooling system.</w:t>
      </w:r>
    </w:p>
    <w:p w:rsidR="00E82922" w:rsidRPr="004037C5" w:rsidRDefault="00E82922" w:rsidP="004D4B68">
      <w:pPr>
        <w:pStyle w:val="NoSpacing"/>
        <w:numPr>
          <w:ilvl w:val="0"/>
          <w:numId w:val="30"/>
        </w:numPr>
        <w:spacing w:line="480" w:lineRule="auto"/>
        <w:rPr>
          <w:rFonts w:ascii="Constantia" w:eastAsiaTheme="minorHAnsi" w:hAnsi="Constantia"/>
        </w:rPr>
      </w:pPr>
      <w:r w:rsidRPr="004037C5">
        <w:rPr>
          <w:rFonts w:ascii="Constantia" w:eastAsiaTheme="minorHAnsi" w:hAnsi="Constantia"/>
        </w:rPr>
        <w:t>Anticipated  savings of 1000 GJ of gas annually</w:t>
      </w:r>
    </w:p>
    <w:p w:rsidR="00E82922" w:rsidRPr="004037C5" w:rsidRDefault="00E82922" w:rsidP="004D4B68">
      <w:pPr>
        <w:pStyle w:val="NoSpacing"/>
        <w:numPr>
          <w:ilvl w:val="0"/>
          <w:numId w:val="30"/>
        </w:numPr>
        <w:spacing w:line="480" w:lineRule="auto"/>
        <w:rPr>
          <w:rFonts w:ascii="Constantia" w:hAnsi="Constantia"/>
        </w:rPr>
      </w:pPr>
      <w:r w:rsidRPr="004037C5">
        <w:rPr>
          <w:rFonts w:ascii="Constantia" w:eastAsiaTheme="minorHAnsi" w:hAnsi="Constantia"/>
        </w:rPr>
        <w:t>Anticipated savings of 140,000 kWh annually</w:t>
      </w:r>
    </w:p>
    <w:p w:rsidR="00700DD0" w:rsidRPr="004037C5" w:rsidRDefault="00700DD0" w:rsidP="004D4B68">
      <w:pPr>
        <w:pStyle w:val="NoSpacing"/>
        <w:spacing w:line="480" w:lineRule="auto"/>
        <w:rPr>
          <w:rFonts w:ascii="Constantia" w:eastAsiaTheme="minorHAnsi" w:hAnsi="Constantia"/>
        </w:rPr>
      </w:pPr>
      <w:r w:rsidRPr="004037C5">
        <w:rPr>
          <w:rFonts w:ascii="Constantia" w:eastAsiaTheme="minorHAnsi" w:hAnsi="Constantia"/>
          <w:b/>
        </w:rPr>
        <w:t>Animal Care Facility:</w:t>
      </w:r>
      <w:r w:rsidRPr="004037C5">
        <w:rPr>
          <w:rFonts w:ascii="Constantia" w:eastAsiaTheme="minorHAnsi" w:hAnsi="Constantia"/>
        </w:rPr>
        <w:t xml:space="preserve"> The Surrey Animal Care facility, designed in 2011, targets LEED certification and includes a geothermal heating and cooling system.</w:t>
      </w:r>
    </w:p>
    <w:p w:rsidR="00E82922" w:rsidRPr="004037C5" w:rsidRDefault="00E82922" w:rsidP="004D4B68">
      <w:pPr>
        <w:pStyle w:val="NoSpacing"/>
        <w:spacing w:line="480" w:lineRule="auto"/>
        <w:rPr>
          <w:rFonts w:ascii="Constantia" w:eastAsiaTheme="minorHAnsi" w:hAnsi="Constantia"/>
        </w:rPr>
      </w:pPr>
      <w:r w:rsidRPr="004037C5">
        <w:rPr>
          <w:rFonts w:ascii="Constantia" w:eastAsiaTheme="minorHAnsi" w:hAnsi="Constantia"/>
          <w:b/>
        </w:rPr>
        <w:t>C</w:t>
      </w:r>
      <w:r w:rsidR="00700DD0" w:rsidRPr="004037C5">
        <w:rPr>
          <w:rFonts w:ascii="Constantia" w:eastAsiaTheme="minorHAnsi" w:hAnsi="Constantia"/>
          <w:b/>
        </w:rPr>
        <w:t>ity Centre Library:</w:t>
      </w:r>
      <w:r w:rsidR="00700DD0" w:rsidRPr="004037C5">
        <w:rPr>
          <w:rFonts w:ascii="Constantia" w:eastAsiaTheme="minorHAnsi" w:hAnsi="Constantia"/>
        </w:rPr>
        <w:t xml:space="preserve"> City Centre Library was completed and opened, targeting LEED Silver Certification. </w:t>
      </w:r>
    </w:p>
    <w:p w:rsidR="00700DD0" w:rsidRPr="004037C5" w:rsidRDefault="00700DD0" w:rsidP="004D4B68">
      <w:pPr>
        <w:pStyle w:val="NoSpacing"/>
        <w:spacing w:line="480" w:lineRule="auto"/>
        <w:rPr>
          <w:rFonts w:ascii="Constantia" w:eastAsiaTheme="minorHAnsi" w:hAnsi="Constantia"/>
        </w:rPr>
      </w:pPr>
      <w:r w:rsidRPr="004037C5">
        <w:rPr>
          <w:rFonts w:ascii="Constantia" w:eastAsiaTheme="minorHAnsi" w:hAnsi="Constantia"/>
          <w:b/>
        </w:rPr>
        <w:lastRenderedPageBreak/>
        <w:t xml:space="preserve">Fire Hall # 14: </w:t>
      </w:r>
      <w:r w:rsidRPr="004037C5">
        <w:rPr>
          <w:rFonts w:ascii="Constantia" w:eastAsiaTheme="minorHAnsi" w:hAnsi="Constantia"/>
        </w:rPr>
        <w:t>Fire Hall # 14 construction was completed, with building systems designed for energy efficiency.  A solar hot water preheat system was installed as part of this project.</w:t>
      </w:r>
    </w:p>
    <w:p w:rsidR="00E82922" w:rsidRPr="004037C5" w:rsidRDefault="00E82922" w:rsidP="00D010BD">
      <w:pPr>
        <w:autoSpaceDE w:val="0"/>
        <w:autoSpaceDN w:val="0"/>
        <w:spacing w:line="480" w:lineRule="auto"/>
        <w:rPr>
          <w:rFonts w:ascii="Constantia" w:hAnsi="Constantia"/>
          <w:b/>
          <w:color w:val="000000" w:themeColor="text1"/>
          <w:szCs w:val="24"/>
        </w:rPr>
      </w:pPr>
    </w:p>
    <w:p w:rsidR="003364FB" w:rsidRPr="004037C5" w:rsidRDefault="003364FB" w:rsidP="004D4B68">
      <w:pPr>
        <w:pStyle w:val="ListParagraph"/>
        <w:numPr>
          <w:ilvl w:val="0"/>
          <w:numId w:val="27"/>
        </w:numPr>
        <w:autoSpaceDE w:val="0"/>
        <w:autoSpaceDN w:val="0"/>
        <w:spacing w:line="480" w:lineRule="auto"/>
        <w:rPr>
          <w:b/>
          <w:color w:val="000000" w:themeColor="text1"/>
          <w:szCs w:val="24"/>
        </w:rPr>
      </w:pPr>
      <w:r w:rsidRPr="004037C5">
        <w:rPr>
          <w:b/>
          <w:color w:val="000000" w:themeColor="text1"/>
          <w:szCs w:val="24"/>
        </w:rPr>
        <w:t xml:space="preserve"> Conduct audit and retrofit activities in City facilities</w:t>
      </w:r>
    </w:p>
    <w:p w:rsidR="004037C5" w:rsidRDefault="004037C5" w:rsidP="00D010BD">
      <w:pPr>
        <w:autoSpaceDE w:val="0"/>
        <w:autoSpaceDN w:val="0"/>
        <w:spacing w:line="480" w:lineRule="auto"/>
        <w:rPr>
          <w:rFonts w:ascii="Constantia" w:eastAsiaTheme="minorHAnsi" w:hAnsi="Constantia"/>
          <w:b/>
          <w:color w:val="000000" w:themeColor="text1"/>
          <w:szCs w:val="24"/>
        </w:rPr>
      </w:pPr>
    </w:p>
    <w:p w:rsidR="003364FB" w:rsidRPr="004037C5" w:rsidRDefault="003364FB" w:rsidP="00D010BD">
      <w:pPr>
        <w:autoSpaceDE w:val="0"/>
        <w:autoSpaceDN w:val="0"/>
        <w:spacing w:line="480" w:lineRule="auto"/>
        <w:rPr>
          <w:rFonts w:ascii="Constantia" w:eastAsiaTheme="minorHAnsi" w:hAnsi="Constantia"/>
          <w:color w:val="000000" w:themeColor="text1"/>
          <w:szCs w:val="24"/>
        </w:rPr>
      </w:pPr>
      <w:r w:rsidRPr="004037C5">
        <w:rPr>
          <w:rFonts w:ascii="Constantia" w:eastAsiaTheme="minorHAnsi" w:hAnsi="Constantia"/>
          <w:b/>
          <w:color w:val="000000" w:themeColor="text1"/>
          <w:szCs w:val="24"/>
        </w:rPr>
        <w:t xml:space="preserve">Energy Retrofits: </w:t>
      </w:r>
      <w:r w:rsidRPr="004037C5">
        <w:rPr>
          <w:rFonts w:ascii="Constantia" w:eastAsiaTheme="minorHAnsi" w:hAnsi="Constantia"/>
          <w:color w:val="000000" w:themeColor="text1"/>
          <w:szCs w:val="24"/>
        </w:rPr>
        <w:t>Past audits resulted in the completion of several retrofits in 2010 and 2011.   The following are a list of major retrofit projects that were initiated for energy savings with short term payback:</w:t>
      </w:r>
    </w:p>
    <w:p w:rsidR="003364FB" w:rsidRPr="004037C5" w:rsidRDefault="003364FB" w:rsidP="00D010BD">
      <w:pPr>
        <w:pStyle w:val="ListParagraph"/>
        <w:numPr>
          <w:ilvl w:val="0"/>
          <w:numId w:val="23"/>
        </w:numPr>
        <w:autoSpaceDE w:val="0"/>
        <w:autoSpaceDN w:val="0"/>
        <w:spacing w:line="480" w:lineRule="auto"/>
        <w:ind w:left="360"/>
        <w:rPr>
          <w:rFonts w:eastAsiaTheme="minorHAnsi"/>
          <w:color w:val="000000" w:themeColor="text1"/>
          <w:sz w:val="24"/>
          <w:szCs w:val="24"/>
        </w:rPr>
      </w:pPr>
      <w:r w:rsidRPr="004037C5">
        <w:rPr>
          <w:rFonts w:eastAsiaTheme="minorHAnsi"/>
          <w:b/>
          <w:color w:val="000000" w:themeColor="text1"/>
          <w:sz w:val="24"/>
          <w:szCs w:val="24"/>
        </w:rPr>
        <w:t>South Surrey Indoor Pool</w:t>
      </w:r>
      <w:r w:rsidRPr="004037C5">
        <w:rPr>
          <w:rFonts w:eastAsiaTheme="minorHAnsi"/>
          <w:color w:val="000000" w:themeColor="text1"/>
          <w:sz w:val="24"/>
          <w:szCs w:val="24"/>
        </w:rPr>
        <w:t>: Replacement of boiler and installation of a dehumidification system with heat recovery.</w:t>
      </w:r>
    </w:p>
    <w:p w:rsidR="003364FB" w:rsidRPr="004037C5" w:rsidRDefault="003364FB" w:rsidP="00D010BD">
      <w:pPr>
        <w:pStyle w:val="ListParagraph"/>
        <w:numPr>
          <w:ilvl w:val="0"/>
          <w:numId w:val="23"/>
        </w:numPr>
        <w:autoSpaceDE w:val="0"/>
        <w:autoSpaceDN w:val="0"/>
        <w:spacing w:line="480" w:lineRule="auto"/>
        <w:ind w:left="360"/>
        <w:rPr>
          <w:rFonts w:eastAsiaTheme="minorHAnsi"/>
          <w:color w:val="000000" w:themeColor="text1"/>
          <w:sz w:val="24"/>
          <w:szCs w:val="24"/>
        </w:rPr>
      </w:pPr>
      <w:r w:rsidRPr="004037C5">
        <w:rPr>
          <w:rFonts w:eastAsiaTheme="minorHAnsi"/>
          <w:b/>
          <w:color w:val="000000" w:themeColor="text1"/>
          <w:sz w:val="24"/>
          <w:szCs w:val="24"/>
        </w:rPr>
        <w:t>Newton Wave Pool</w:t>
      </w:r>
      <w:r w:rsidRPr="004037C5">
        <w:rPr>
          <w:rFonts w:eastAsiaTheme="minorHAnsi"/>
          <w:color w:val="000000" w:themeColor="text1"/>
          <w:sz w:val="24"/>
          <w:szCs w:val="24"/>
        </w:rPr>
        <w:t>: Replacement of air handling systems and installation of a dehumidification system with heat recovery.</w:t>
      </w:r>
    </w:p>
    <w:p w:rsidR="003364FB" w:rsidRPr="004037C5" w:rsidRDefault="003364FB" w:rsidP="00D010BD">
      <w:pPr>
        <w:pStyle w:val="ListParagraph"/>
        <w:numPr>
          <w:ilvl w:val="0"/>
          <w:numId w:val="23"/>
        </w:numPr>
        <w:autoSpaceDE w:val="0"/>
        <w:autoSpaceDN w:val="0"/>
        <w:spacing w:line="480" w:lineRule="auto"/>
        <w:ind w:left="360"/>
        <w:rPr>
          <w:rFonts w:eastAsiaTheme="minorHAnsi"/>
          <w:color w:val="000000" w:themeColor="text1"/>
          <w:sz w:val="24"/>
          <w:szCs w:val="24"/>
        </w:rPr>
      </w:pPr>
      <w:r w:rsidRPr="004037C5">
        <w:rPr>
          <w:rFonts w:eastAsiaTheme="minorHAnsi"/>
          <w:b/>
          <w:color w:val="000000" w:themeColor="text1"/>
          <w:sz w:val="24"/>
          <w:szCs w:val="24"/>
        </w:rPr>
        <w:t>RCMP Headquarters</w:t>
      </w:r>
      <w:r w:rsidRPr="004037C5">
        <w:rPr>
          <w:rFonts w:eastAsiaTheme="minorHAnsi"/>
          <w:color w:val="000000" w:themeColor="text1"/>
          <w:sz w:val="24"/>
          <w:szCs w:val="24"/>
        </w:rPr>
        <w:t>: Replacement of boiler and chillers with high efficiency units.</w:t>
      </w:r>
    </w:p>
    <w:p w:rsidR="004D4B68" w:rsidRPr="004037C5" w:rsidRDefault="004D4B68" w:rsidP="004D4B68">
      <w:pPr>
        <w:pStyle w:val="ListParagraph"/>
        <w:autoSpaceDE w:val="0"/>
        <w:autoSpaceDN w:val="0"/>
        <w:spacing w:line="480" w:lineRule="auto"/>
        <w:ind w:left="360"/>
        <w:rPr>
          <w:rFonts w:eastAsiaTheme="minorHAnsi"/>
          <w:color w:val="000000" w:themeColor="text1"/>
          <w:sz w:val="24"/>
          <w:szCs w:val="24"/>
        </w:rPr>
      </w:pPr>
    </w:p>
    <w:p w:rsidR="003364FB" w:rsidRPr="004037C5" w:rsidRDefault="003364FB" w:rsidP="00D010BD">
      <w:pPr>
        <w:tabs>
          <w:tab w:val="left" w:pos="1800"/>
        </w:tabs>
        <w:spacing w:line="480" w:lineRule="auto"/>
        <w:rPr>
          <w:rFonts w:ascii="Constantia" w:eastAsiaTheme="minorHAnsi" w:hAnsi="Constantia"/>
          <w:color w:val="000000" w:themeColor="text1"/>
          <w:szCs w:val="24"/>
        </w:rPr>
      </w:pPr>
      <w:r w:rsidRPr="004037C5">
        <w:rPr>
          <w:rFonts w:ascii="Constantia" w:eastAsiaTheme="minorHAnsi" w:hAnsi="Constantia"/>
          <w:b/>
          <w:color w:val="000000" w:themeColor="text1"/>
          <w:szCs w:val="24"/>
        </w:rPr>
        <w:t>Surrey Sports &amp; Leisure Complex</w:t>
      </w:r>
      <w:r w:rsidRPr="004037C5">
        <w:rPr>
          <w:rFonts w:ascii="Constantia" w:eastAsiaTheme="minorHAnsi" w:hAnsi="Constantia"/>
          <w:color w:val="000000" w:themeColor="text1"/>
          <w:szCs w:val="24"/>
        </w:rPr>
        <w:t>: installation of heat recovery systems to take advantage of waste heat from the arena refrigeration system and heat recovery from warm pool air prior to exhausting air outside.</w:t>
      </w:r>
    </w:p>
    <w:p w:rsidR="003364FB" w:rsidRPr="004037C5" w:rsidRDefault="003364FB" w:rsidP="006E77F0">
      <w:pPr>
        <w:tabs>
          <w:tab w:val="left" w:pos="1800"/>
        </w:tabs>
        <w:spacing w:line="480" w:lineRule="auto"/>
        <w:rPr>
          <w:rFonts w:ascii="Constantia" w:hAnsi="Constantia"/>
          <w:szCs w:val="24"/>
        </w:rPr>
      </w:pPr>
      <w:r w:rsidRPr="004037C5">
        <w:rPr>
          <w:rFonts w:ascii="Constantia" w:eastAsiaTheme="minorHAnsi" w:hAnsi="Constantia"/>
          <w:color w:val="000000" w:themeColor="text1"/>
          <w:szCs w:val="24"/>
        </w:rPr>
        <w:t>Expected savings:</w:t>
      </w:r>
    </w:p>
    <w:p w:rsidR="003364FB" w:rsidRPr="004037C5" w:rsidRDefault="003364FB" w:rsidP="006E77F0">
      <w:pPr>
        <w:pStyle w:val="NoSpacing"/>
        <w:numPr>
          <w:ilvl w:val="0"/>
          <w:numId w:val="31"/>
        </w:numPr>
        <w:spacing w:line="480" w:lineRule="auto"/>
        <w:rPr>
          <w:rFonts w:ascii="Constantia" w:hAnsi="Constantia"/>
        </w:rPr>
      </w:pPr>
      <w:r w:rsidRPr="004037C5">
        <w:rPr>
          <w:rFonts w:ascii="Constantia" w:hAnsi="Constantia"/>
        </w:rPr>
        <w:t xml:space="preserve">Anticipated  7,900 GJ gas </w:t>
      </w:r>
    </w:p>
    <w:p w:rsidR="003364FB" w:rsidRPr="004037C5" w:rsidRDefault="003364FB" w:rsidP="006E77F0">
      <w:pPr>
        <w:pStyle w:val="NoSpacing"/>
        <w:numPr>
          <w:ilvl w:val="0"/>
          <w:numId w:val="31"/>
        </w:numPr>
        <w:spacing w:line="480" w:lineRule="auto"/>
        <w:rPr>
          <w:rFonts w:ascii="Constantia" w:hAnsi="Constantia"/>
        </w:rPr>
      </w:pPr>
      <w:r w:rsidRPr="004037C5">
        <w:rPr>
          <w:rFonts w:ascii="Constantia" w:hAnsi="Constantia"/>
        </w:rPr>
        <w:t xml:space="preserve">Anticipated 12,000 GJ gas </w:t>
      </w:r>
    </w:p>
    <w:p w:rsidR="003364FB" w:rsidRPr="004037C5" w:rsidRDefault="003364FB" w:rsidP="006E77F0">
      <w:pPr>
        <w:pStyle w:val="NoSpacing"/>
        <w:numPr>
          <w:ilvl w:val="0"/>
          <w:numId w:val="31"/>
        </w:numPr>
        <w:spacing w:line="480" w:lineRule="auto"/>
        <w:rPr>
          <w:rFonts w:ascii="Constantia" w:hAnsi="Constantia"/>
        </w:rPr>
      </w:pPr>
      <w:r w:rsidRPr="004037C5">
        <w:rPr>
          <w:rFonts w:ascii="Constantia" w:hAnsi="Constantia"/>
        </w:rPr>
        <w:t xml:space="preserve">Anticipated 178,000 </w:t>
      </w:r>
      <w:proofErr w:type="spellStart"/>
      <w:r w:rsidRPr="004037C5">
        <w:rPr>
          <w:rFonts w:ascii="Constantia" w:hAnsi="Constantia"/>
        </w:rPr>
        <w:t>kwh</w:t>
      </w:r>
      <w:proofErr w:type="spellEnd"/>
      <w:r w:rsidRPr="004037C5">
        <w:rPr>
          <w:rFonts w:ascii="Constantia" w:hAnsi="Constantia"/>
        </w:rPr>
        <w:t xml:space="preserve"> electricity and  760 GJ gas</w:t>
      </w:r>
    </w:p>
    <w:p w:rsidR="003364FB" w:rsidRPr="004037C5" w:rsidRDefault="003364FB" w:rsidP="006E77F0">
      <w:pPr>
        <w:pStyle w:val="NoSpacing"/>
        <w:numPr>
          <w:ilvl w:val="0"/>
          <w:numId w:val="31"/>
        </w:numPr>
        <w:spacing w:line="480" w:lineRule="auto"/>
        <w:rPr>
          <w:rFonts w:ascii="Constantia" w:hAnsi="Constantia"/>
        </w:rPr>
      </w:pPr>
      <w:r w:rsidRPr="004037C5">
        <w:rPr>
          <w:rFonts w:ascii="Constantia" w:hAnsi="Constantia"/>
        </w:rPr>
        <w:t>Anticipated 18,200 GJ gas savings</w:t>
      </w:r>
    </w:p>
    <w:p w:rsidR="00E82922" w:rsidRPr="004037C5" w:rsidRDefault="00E82922" w:rsidP="006E77F0">
      <w:pPr>
        <w:autoSpaceDE w:val="0"/>
        <w:autoSpaceDN w:val="0"/>
        <w:spacing w:line="480" w:lineRule="auto"/>
        <w:rPr>
          <w:rFonts w:ascii="Constantia" w:hAnsi="Constantia"/>
          <w:b/>
          <w:color w:val="000000" w:themeColor="text1"/>
          <w:szCs w:val="24"/>
        </w:rPr>
      </w:pPr>
    </w:p>
    <w:p w:rsidR="00D010BD" w:rsidRPr="004037C5" w:rsidRDefault="00D010BD" w:rsidP="006E77F0">
      <w:pPr>
        <w:pStyle w:val="ListParagraph"/>
        <w:numPr>
          <w:ilvl w:val="0"/>
          <w:numId w:val="27"/>
        </w:numPr>
        <w:autoSpaceDE w:val="0"/>
        <w:autoSpaceDN w:val="0"/>
        <w:spacing w:line="480" w:lineRule="auto"/>
        <w:rPr>
          <w:b/>
          <w:color w:val="000000" w:themeColor="text1"/>
          <w:szCs w:val="24"/>
        </w:rPr>
      </w:pPr>
      <w:r w:rsidRPr="004037C5">
        <w:rPr>
          <w:b/>
          <w:color w:val="000000" w:themeColor="text1"/>
          <w:szCs w:val="24"/>
        </w:rPr>
        <w:t xml:space="preserve"> Include alternative energy evaluation in replacement, renovation, and maintenance activities</w:t>
      </w:r>
    </w:p>
    <w:p w:rsidR="003364FB" w:rsidRPr="004037C5" w:rsidRDefault="003364FB" w:rsidP="006E77F0">
      <w:pPr>
        <w:tabs>
          <w:tab w:val="left" w:pos="1800"/>
        </w:tabs>
        <w:spacing w:line="480" w:lineRule="auto"/>
        <w:rPr>
          <w:rFonts w:ascii="Constantia" w:hAnsi="Constantia"/>
          <w:szCs w:val="24"/>
        </w:rPr>
      </w:pPr>
    </w:p>
    <w:p w:rsidR="00D010BD" w:rsidRPr="004037C5" w:rsidRDefault="00D010BD" w:rsidP="00D010BD">
      <w:pPr>
        <w:tabs>
          <w:tab w:val="left" w:pos="1800"/>
        </w:tabs>
        <w:spacing w:line="480" w:lineRule="auto"/>
        <w:rPr>
          <w:rFonts w:ascii="Constantia" w:eastAsiaTheme="minorHAnsi" w:hAnsi="Constantia"/>
          <w:color w:val="000000" w:themeColor="text1"/>
          <w:szCs w:val="24"/>
        </w:rPr>
      </w:pPr>
      <w:r w:rsidRPr="004037C5">
        <w:rPr>
          <w:rFonts w:ascii="Constantia" w:eastAsiaTheme="minorHAnsi" w:hAnsi="Constantia"/>
          <w:b/>
          <w:color w:val="000000" w:themeColor="text1"/>
          <w:szCs w:val="24"/>
        </w:rPr>
        <w:t xml:space="preserve">City Hall Chillers: </w:t>
      </w:r>
      <w:r w:rsidRPr="004037C5">
        <w:rPr>
          <w:rFonts w:ascii="Constantia" w:eastAsiaTheme="minorHAnsi" w:hAnsi="Constantia"/>
          <w:color w:val="000000" w:themeColor="text1"/>
          <w:szCs w:val="24"/>
        </w:rPr>
        <w:t>All equipment replacement has included the highest efficiency equipment as per evaluation by City mechanical engineering consultants.  The replacement of aging chillers in City Hall was a major renovation that resulted in significant savings.</w:t>
      </w:r>
    </w:p>
    <w:p w:rsidR="00D010BD" w:rsidRPr="004037C5" w:rsidRDefault="00D010BD" w:rsidP="00D010BD">
      <w:pPr>
        <w:pStyle w:val="ListParagraph"/>
        <w:numPr>
          <w:ilvl w:val="0"/>
          <w:numId w:val="25"/>
        </w:numPr>
        <w:tabs>
          <w:tab w:val="left" w:pos="1800"/>
        </w:tabs>
        <w:spacing w:line="480" w:lineRule="auto"/>
        <w:rPr>
          <w:sz w:val="24"/>
          <w:szCs w:val="24"/>
        </w:rPr>
      </w:pPr>
      <w:r w:rsidRPr="004037C5">
        <w:rPr>
          <w:rFonts w:eastAsiaTheme="minorHAnsi"/>
          <w:color w:val="000000" w:themeColor="text1"/>
          <w:sz w:val="24"/>
          <w:szCs w:val="24"/>
        </w:rPr>
        <w:t xml:space="preserve">Anticipated savings 220,000 </w:t>
      </w:r>
      <w:proofErr w:type="spellStart"/>
      <w:r w:rsidRPr="004037C5">
        <w:rPr>
          <w:rFonts w:eastAsiaTheme="minorHAnsi"/>
          <w:color w:val="000000" w:themeColor="text1"/>
          <w:sz w:val="24"/>
          <w:szCs w:val="24"/>
        </w:rPr>
        <w:t>kwh</w:t>
      </w:r>
      <w:proofErr w:type="spellEnd"/>
      <w:r w:rsidRPr="004037C5">
        <w:rPr>
          <w:rFonts w:eastAsiaTheme="minorHAnsi"/>
          <w:color w:val="000000" w:themeColor="text1"/>
          <w:sz w:val="24"/>
          <w:szCs w:val="24"/>
        </w:rPr>
        <w:t xml:space="preserve"> electricity</w:t>
      </w:r>
    </w:p>
    <w:p w:rsidR="003364FB" w:rsidRPr="004037C5" w:rsidRDefault="003364FB" w:rsidP="00D010BD">
      <w:pPr>
        <w:tabs>
          <w:tab w:val="left" w:pos="1800"/>
        </w:tabs>
        <w:spacing w:line="480" w:lineRule="auto"/>
        <w:rPr>
          <w:rFonts w:ascii="Constantia" w:hAnsi="Constantia"/>
          <w:szCs w:val="24"/>
        </w:rPr>
      </w:pPr>
    </w:p>
    <w:p w:rsidR="00724C15" w:rsidRPr="004037C5" w:rsidRDefault="00724C15" w:rsidP="00D010BD">
      <w:pPr>
        <w:tabs>
          <w:tab w:val="left" w:pos="1800"/>
        </w:tabs>
        <w:spacing w:line="480" w:lineRule="auto"/>
        <w:rPr>
          <w:rFonts w:ascii="Constantia" w:hAnsi="Constantia"/>
          <w:b/>
          <w:color w:val="3C6D28"/>
          <w:szCs w:val="24"/>
        </w:rPr>
      </w:pPr>
      <w:r w:rsidRPr="004037C5">
        <w:rPr>
          <w:rFonts w:ascii="Constantia" w:hAnsi="Constantia"/>
          <w:b/>
          <w:color w:val="3C6D28"/>
          <w:szCs w:val="24"/>
        </w:rPr>
        <w:t>RESULTS AND OUTCOMES</w:t>
      </w:r>
    </w:p>
    <w:p w:rsidR="00FE21E1" w:rsidRPr="004037C5" w:rsidRDefault="00FE21E1" w:rsidP="00D010BD">
      <w:pPr>
        <w:spacing w:line="480" w:lineRule="auto"/>
        <w:rPr>
          <w:rFonts w:ascii="Constantia" w:hAnsi="Constantia"/>
          <w:b/>
          <w:szCs w:val="24"/>
        </w:rPr>
      </w:pPr>
      <w:r w:rsidRPr="004037C5">
        <w:rPr>
          <w:rFonts w:ascii="Constantia" w:hAnsi="Constantia"/>
          <w:b/>
          <w:szCs w:val="24"/>
        </w:rPr>
        <w:t xml:space="preserve">2010 Corporate Emissions </w:t>
      </w:r>
    </w:p>
    <w:p w:rsidR="00FE21E1" w:rsidRPr="004037C5" w:rsidRDefault="00A55D43" w:rsidP="00D010BD">
      <w:pPr>
        <w:spacing w:line="480" w:lineRule="auto"/>
        <w:rPr>
          <w:rFonts w:ascii="Constantia" w:hAnsi="Constantia"/>
          <w:szCs w:val="24"/>
        </w:rPr>
      </w:pPr>
      <w:r w:rsidRPr="004037C5">
        <w:rPr>
          <w:rFonts w:ascii="Constantia" w:hAnsi="Constantia"/>
          <w:szCs w:val="24"/>
        </w:rPr>
        <w:t>As part of the CEAP, the City of Surrey tracks its energy use and GHG emissions</w:t>
      </w:r>
      <w:r w:rsidR="00537F8F" w:rsidRPr="004037C5">
        <w:rPr>
          <w:rFonts w:ascii="Constantia" w:hAnsi="Constantia"/>
          <w:szCs w:val="24"/>
        </w:rPr>
        <w:t xml:space="preserve"> to monitor the City’s performance over time and the effectiveness of its sustainability initiatives. </w:t>
      </w:r>
      <w:r w:rsidR="00FE21E1" w:rsidRPr="004037C5">
        <w:rPr>
          <w:rFonts w:ascii="Constantia" w:hAnsi="Constantia"/>
          <w:szCs w:val="24"/>
        </w:rPr>
        <w:t>In 2010, the City of Surrey’s corporate GHG emissions were 15,336 t CO</w:t>
      </w:r>
      <w:r w:rsidR="00FE21E1" w:rsidRPr="004037C5">
        <w:rPr>
          <w:rFonts w:ascii="Constantia" w:hAnsi="Constantia"/>
          <w:szCs w:val="24"/>
          <w:vertAlign w:val="subscript"/>
        </w:rPr>
        <w:t>2</w:t>
      </w:r>
      <w:r w:rsidR="00FE21E1" w:rsidRPr="004037C5">
        <w:rPr>
          <w:rFonts w:ascii="Constantia" w:hAnsi="Constantia"/>
          <w:szCs w:val="24"/>
        </w:rPr>
        <w:t>e (</w:t>
      </w:r>
      <w:proofErr w:type="spellStart"/>
      <w:r w:rsidR="00FE21E1" w:rsidRPr="004037C5">
        <w:rPr>
          <w:rFonts w:ascii="Constantia" w:hAnsi="Constantia"/>
          <w:szCs w:val="24"/>
        </w:rPr>
        <w:t>tonnes</w:t>
      </w:r>
      <w:proofErr w:type="spellEnd"/>
      <w:r w:rsidR="00FE21E1" w:rsidRPr="004037C5">
        <w:rPr>
          <w:rFonts w:ascii="Constantia" w:hAnsi="Constantia"/>
          <w:szCs w:val="24"/>
        </w:rPr>
        <w:t xml:space="preserve"> of carbon dioxide equivalent), with 47% of these emissions coming from fleet vehicles, 41% from natural gas, and 12% from electricity.  Total energy use was 472,942 GJ, at a total cost of $10,096,966 to the City.  Emission contributions by area are shown in Figure 1.  </w:t>
      </w:r>
    </w:p>
    <w:p w:rsidR="00537F8F" w:rsidRPr="004037C5" w:rsidRDefault="00FE21E1" w:rsidP="00D010BD">
      <w:pPr>
        <w:spacing w:line="480" w:lineRule="auto"/>
        <w:rPr>
          <w:rFonts w:ascii="Constantia" w:hAnsi="Constantia"/>
          <w:szCs w:val="24"/>
        </w:rPr>
      </w:pPr>
      <w:r w:rsidRPr="004037C5">
        <w:rPr>
          <w:rFonts w:ascii="Constantia" w:hAnsi="Constantia"/>
          <w:noProof/>
          <w:szCs w:val="24"/>
        </w:rPr>
        <w:lastRenderedPageBreak/>
        <w:drawing>
          <wp:anchor distT="0" distB="0" distL="114300" distR="114300" simplePos="0" relativeHeight="251660288" behindDoc="0" locked="0" layoutInCell="1" allowOverlap="1">
            <wp:simplePos x="0" y="0"/>
            <wp:positionH relativeFrom="column">
              <wp:posOffset>9525</wp:posOffset>
            </wp:positionH>
            <wp:positionV relativeFrom="paragraph">
              <wp:posOffset>122555</wp:posOffset>
            </wp:positionV>
            <wp:extent cx="2905125" cy="2800350"/>
            <wp:effectExtent l="1905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4037C5">
        <w:rPr>
          <w:rFonts w:ascii="Constantia" w:hAnsi="Constantia"/>
          <w:noProof/>
          <w:szCs w:val="24"/>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55880</wp:posOffset>
            </wp:positionV>
            <wp:extent cx="3038475" cy="3086100"/>
            <wp:effectExtent l="0" t="0" r="0" b="0"/>
            <wp:wrapSquare wrapText="bothSides"/>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E21E1" w:rsidRPr="004037C5" w:rsidRDefault="00537F8F" w:rsidP="00D010BD">
      <w:pPr>
        <w:spacing w:line="480" w:lineRule="auto"/>
        <w:rPr>
          <w:rFonts w:ascii="Constantia" w:hAnsi="Constantia"/>
          <w:szCs w:val="24"/>
        </w:rPr>
      </w:pPr>
      <w:r w:rsidRPr="004037C5">
        <w:rPr>
          <w:rFonts w:ascii="Constantia" w:hAnsi="Constantia"/>
          <w:szCs w:val="24"/>
        </w:rPr>
        <w:t xml:space="preserve">The City’s initial sustainability and energy reduction initiative are showing promising early results. </w:t>
      </w:r>
      <w:r w:rsidR="00FE21E1" w:rsidRPr="004037C5">
        <w:rPr>
          <w:rFonts w:ascii="Constantia" w:hAnsi="Constantia"/>
          <w:szCs w:val="24"/>
        </w:rPr>
        <w:t>Total emissions in 2010 decreased from 16,413 t in 2009 to 15,336 t of CO</w:t>
      </w:r>
      <w:r w:rsidR="00FE21E1" w:rsidRPr="004037C5">
        <w:rPr>
          <w:rFonts w:ascii="Constantia" w:hAnsi="Constantia"/>
          <w:szCs w:val="24"/>
          <w:vertAlign w:val="subscript"/>
        </w:rPr>
        <w:t>2</w:t>
      </w:r>
      <w:r w:rsidR="00FE21E1" w:rsidRPr="004037C5">
        <w:rPr>
          <w:rFonts w:ascii="Constantia" w:hAnsi="Constantia"/>
          <w:szCs w:val="24"/>
        </w:rPr>
        <w:t xml:space="preserve">e in 2010.  </w:t>
      </w:r>
    </w:p>
    <w:p w:rsidR="00967F7B" w:rsidRPr="004037C5" w:rsidRDefault="00967F7B" w:rsidP="00D010BD">
      <w:pPr>
        <w:spacing w:line="480" w:lineRule="auto"/>
        <w:rPr>
          <w:rFonts w:ascii="Constantia" w:hAnsi="Constantia"/>
          <w:b/>
          <w:szCs w:val="24"/>
        </w:rPr>
      </w:pPr>
    </w:p>
    <w:p w:rsidR="004037C5" w:rsidRDefault="00724C15" w:rsidP="004037C5">
      <w:pPr>
        <w:tabs>
          <w:tab w:val="left" w:pos="1800"/>
        </w:tabs>
        <w:spacing w:line="480" w:lineRule="auto"/>
        <w:rPr>
          <w:rFonts w:ascii="Constantia" w:hAnsi="Constantia" w:cs="Arial"/>
          <w:b/>
          <w:color w:val="3C6D28"/>
          <w:szCs w:val="24"/>
        </w:rPr>
      </w:pPr>
      <w:r w:rsidRPr="004037C5">
        <w:rPr>
          <w:rFonts w:ascii="Constantia" w:hAnsi="Constantia" w:cs="Arial"/>
          <w:b/>
          <w:color w:val="3C6D28"/>
          <w:szCs w:val="24"/>
        </w:rPr>
        <w:t>LESSONS LEARNED</w:t>
      </w:r>
    </w:p>
    <w:p w:rsidR="004037C5" w:rsidRDefault="00D57B22" w:rsidP="004037C5">
      <w:pPr>
        <w:tabs>
          <w:tab w:val="left" w:pos="1800"/>
        </w:tabs>
        <w:spacing w:line="480" w:lineRule="auto"/>
        <w:rPr>
          <w:rFonts w:ascii="Constantia" w:hAnsi="Constantia" w:cs="Verdana"/>
          <w:szCs w:val="22"/>
        </w:rPr>
      </w:pPr>
      <w:r w:rsidRPr="004037C5">
        <w:rPr>
          <w:rFonts w:ascii="Constantia" w:hAnsi="Constantia" w:cs="Verdana"/>
          <w:b/>
          <w:szCs w:val="22"/>
        </w:rPr>
        <w:t>Continue to evolve:</w:t>
      </w:r>
      <w:r w:rsidRPr="004037C5">
        <w:rPr>
          <w:rFonts w:ascii="Constantia" w:hAnsi="Constantia" w:cs="Verdana"/>
          <w:szCs w:val="22"/>
        </w:rPr>
        <w:t xml:space="preserve"> Regularly assess data and change programs accordingly to ensure they remain effective and that resources are deployed where they should be.</w:t>
      </w:r>
    </w:p>
    <w:p w:rsidR="00D57B22" w:rsidRPr="004037C5" w:rsidRDefault="00D57B22" w:rsidP="004037C5">
      <w:pPr>
        <w:tabs>
          <w:tab w:val="left" w:pos="1800"/>
        </w:tabs>
        <w:spacing w:line="480" w:lineRule="auto"/>
        <w:rPr>
          <w:rFonts w:ascii="Constantia" w:hAnsi="Constantia" w:cs="Arial"/>
          <w:b/>
          <w:color w:val="3C6D28"/>
          <w:szCs w:val="24"/>
        </w:rPr>
      </w:pPr>
      <w:r w:rsidRPr="004037C5">
        <w:rPr>
          <w:rFonts w:ascii="Constantia" w:hAnsi="Constantia" w:cs="Verdana"/>
          <w:b/>
          <w:szCs w:val="22"/>
        </w:rPr>
        <w:t>Be innovative:</w:t>
      </w:r>
      <w:r w:rsidRPr="004037C5">
        <w:rPr>
          <w:rFonts w:ascii="Constantia" w:hAnsi="Constantia" w:cs="Verdana"/>
          <w:szCs w:val="22"/>
        </w:rPr>
        <w:t xml:space="preserve"> Approach entrenched problems from a new direction. Review best practices in other communities and countries for inspiration.</w:t>
      </w:r>
    </w:p>
    <w:p w:rsidR="00D57B22" w:rsidRPr="004037C5" w:rsidRDefault="00D57B22" w:rsidP="004037C5">
      <w:pPr>
        <w:pStyle w:val="Default"/>
        <w:spacing w:line="480" w:lineRule="auto"/>
        <w:rPr>
          <w:rFonts w:cs="Verdana"/>
          <w:szCs w:val="22"/>
        </w:rPr>
      </w:pPr>
      <w:r w:rsidRPr="004037C5">
        <w:rPr>
          <w:rFonts w:cs="Verdana"/>
          <w:b/>
          <w:szCs w:val="22"/>
        </w:rPr>
        <w:t>Share:</w:t>
      </w:r>
      <w:r w:rsidRPr="004037C5">
        <w:rPr>
          <w:rFonts w:cs="Verdana"/>
          <w:szCs w:val="22"/>
        </w:rPr>
        <w:t xml:space="preserve"> Share what you learn – successes as well as mistakes – with other staff, partners and communities. Best practices were </w:t>
      </w:r>
      <w:proofErr w:type="gramStart"/>
      <w:r w:rsidRPr="004037C5">
        <w:rPr>
          <w:rFonts w:cs="Verdana"/>
          <w:szCs w:val="22"/>
        </w:rPr>
        <w:t>key</w:t>
      </w:r>
      <w:proofErr w:type="gramEnd"/>
      <w:r w:rsidRPr="004037C5">
        <w:rPr>
          <w:rFonts w:cs="Verdana"/>
          <w:szCs w:val="22"/>
        </w:rPr>
        <w:t xml:space="preserve"> in the development of Surrey’s programs.</w:t>
      </w:r>
    </w:p>
    <w:p w:rsidR="004F1764" w:rsidRPr="004037C5" w:rsidRDefault="007A7A9E" w:rsidP="00D010BD">
      <w:pPr>
        <w:tabs>
          <w:tab w:val="left" w:pos="1800"/>
        </w:tabs>
        <w:spacing w:line="480" w:lineRule="auto"/>
        <w:rPr>
          <w:rFonts w:ascii="Constantia" w:hAnsi="Constantia" w:cs="Arial"/>
          <w:sz w:val="22"/>
          <w:szCs w:val="22"/>
        </w:rPr>
      </w:pPr>
      <w:r w:rsidRPr="004037C5">
        <w:rPr>
          <w:rFonts w:ascii="Constantia" w:hAnsi="Constantia" w:cs="Arial"/>
          <w:sz w:val="22"/>
          <w:szCs w:val="22"/>
        </w:rPr>
        <w:t xml:space="preserve">. </w:t>
      </w:r>
    </w:p>
    <w:sectPr w:rsidR="004F1764" w:rsidRPr="004037C5" w:rsidSect="004F1764">
      <w:footerReference w:type="even" r:id="rId14"/>
      <w:footerReference w:type="default" r:id="rId15"/>
      <w:pgSz w:w="12240" w:h="15840"/>
      <w:pgMar w:top="1134" w:right="1440" w:bottom="851"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376" w:rsidRDefault="00594376" w:rsidP="00377802">
      <w:r>
        <w:separator/>
      </w:r>
    </w:p>
  </w:endnote>
  <w:endnote w:type="continuationSeparator" w:id="0">
    <w:p w:rsidR="00594376" w:rsidRDefault="00594376" w:rsidP="003778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72" w:rsidRDefault="000202D5">
    <w:pPr>
      <w:pStyle w:val="Footer"/>
      <w:framePr w:wrap="around" w:vAnchor="text" w:hAnchor="margin" w:xAlign="right" w:y="1"/>
      <w:rPr>
        <w:rStyle w:val="PageNumber"/>
      </w:rPr>
    </w:pPr>
    <w:r>
      <w:rPr>
        <w:rStyle w:val="PageNumber"/>
      </w:rPr>
      <w:fldChar w:fldCharType="begin"/>
    </w:r>
    <w:r w:rsidR="00A52272">
      <w:rPr>
        <w:rStyle w:val="PageNumber"/>
      </w:rPr>
      <w:instrText xml:space="preserve">PAGE  </w:instrText>
    </w:r>
    <w:r>
      <w:rPr>
        <w:rStyle w:val="PageNumber"/>
      </w:rPr>
      <w:fldChar w:fldCharType="end"/>
    </w:r>
  </w:p>
  <w:p w:rsidR="00A52272" w:rsidRDefault="00A5227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272" w:rsidRDefault="000202D5">
    <w:pPr>
      <w:pStyle w:val="Footer"/>
      <w:framePr w:wrap="around" w:vAnchor="text" w:hAnchor="margin" w:xAlign="right" w:y="1"/>
      <w:rPr>
        <w:rStyle w:val="PageNumber"/>
      </w:rPr>
    </w:pPr>
    <w:r>
      <w:rPr>
        <w:rStyle w:val="PageNumber"/>
      </w:rPr>
      <w:fldChar w:fldCharType="begin"/>
    </w:r>
    <w:r w:rsidR="00A52272">
      <w:rPr>
        <w:rStyle w:val="PageNumber"/>
      </w:rPr>
      <w:instrText xml:space="preserve">PAGE  </w:instrText>
    </w:r>
    <w:r>
      <w:rPr>
        <w:rStyle w:val="PageNumber"/>
      </w:rPr>
      <w:fldChar w:fldCharType="separate"/>
    </w:r>
    <w:r w:rsidR="00FB3EDB">
      <w:rPr>
        <w:rStyle w:val="PageNumber"/>
        <w:noProof/>
      </w:rPr>
      <w:t>2</w:t>
    </w:r>
    <w:r>
      <w:rPr>
        <w:rStyle w:val="PageNumber"/>
      </w:rPr>
      <w:fldChar w:fldCharType="end"/>
    </w:r>
  </w:p>
  <w:p w:rsidR="00A52272" w:rsidRDefault="00A5227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376" w:rsidRDefault="00594376" w:rsidP="00377802">
      <w:r>
        <w:separator/>
      </w:r>
    </w:p>
  </w:footnote>
  <w:footnote w:type="continuationSeparator" w:id="0">
    <w:p w:rsidR="00594376" w:rsidRDefault="00594376" w:rsidP="00377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308B0A"/>
    <w:multiLevelType w:val="hybridMultilevel"/>
    <w:tmpl w:val="C3A823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0000000"/>
    <w:lvl w:ilvl="0">
      <w:start w:val="1"/>
      <w:numFmt w:val="bullet"/>
      <w:lvlText w:val=""/>
      <w:lvlJc w:val="left"/>
      <w:pPr>
        <w:tabs>
          <w:tab w:val="num" w:pos="360"/>
        </w:tabs>
        <w:ind w:left="360" w:hanging="360"/>
      </w:pPr>
      <w:rPr>
        <w:rFonts w:ascii="Wingdings" w:hAnsi="Wingdings" w:hint="default"/>
        <w:sz w:val="24"/>
      </w:rPr>
    </w:lvl>
  </w:abstractNum>
  <w:abstractNum w:abstractNumId="2">
    <w:nsid w:val="00000003"/>
    <w:multiLevelType w:val="singleLevel"/>
    <w:tmpl w:val="00000000"/>
    <w:lvl w:ilvl="0">
      <w:start w:val="1"/>
      <w:numFmt w:val="bullet"/>
      <w:lvlText w:val=""/>
      <w:lvlJc w:val="left"/>
      <w:pPr>
        <w:tabs>
          <w:tab w:val="num" w:pos="360"/>
        </w:tabs>
        <w:ind w:left="360" w:hanging="360"/>
      </w:pPr>
      <w:rPr>
        <w:rFonts w:ascii="Wingdings" w:hAnsi="Wingdings" w:hint="default"/>
        <w:sz w:val="24"/>
      </w:rPr>
    </w:lvl>
  </w:abstractNum>
  <w:abstractNum w:abstractNumId="3">
    <w:nsid w:val="00000004"/>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4">
    <w:nsid w:val="00000006"/>
    <w:multiLevelType w:val="singleLevel"/>
    <w:tmpl w:val="000F0409"/>
    <w:lvl w:ilvl="0">
      <w:start w:val="1"/>
      <w:numFmt w:val="decimal"/>
      <w:lvlText w:val="%1."/>
      <w:lvlJc w:val="left"/>
      <w:pPr>
        <w:tabs>
          <w:tab w:val="num" w:pos="360"/>
        </w:tabs>
        <w:ind w:left="360" w:hanging="360"/>
      </w:pPr>
    </w:lvl>
  </w:abstractNum>
  <w:abstractNum w:abstractNumId="5">
    <w:nsid w:val="00000007"/>
    <w:multiLevelType w:val="singleLevel"/>
    <w:tmpl w:val="000F0409"/>
    <w:lvl w:ilvl="0">
      <w:start w:val="1"/>
      <w:numFmt w:val="decimal"/>
      <w:lvlText w:val="%1."/>
      <w:lvlJc w:val="left"/>
      <w:pPr>
        <w:tabs>
          <w:tab w:val="num" w:pos="360"/>
        </w:tabs>
        <w:ind w:left="360" w:hanging="360"/>
      </w:pPr>
    </w:lvl>
  </w:abstractNum>
  <w:abstractNum w:abstractNumId="6">
    <w:nsid w:val="11BE558E"/>
    <w:multiLevelType w:val="hybridMultilevel"/>
    <w:tmpl w:val="F000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979BA"/>
    <w:multiLevelType w:val="hybridMultilevel"/>
    <w:tmpl w:val="F63AC424"/>
    <w:lvl w:ilvl="0" w:tplc="D5326FA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3A826C6"/>
    <w:multiLevelType w:val="hybridMultilevel"/>
    <w:tmpl w:val="C45478CC"/>
    <w:lvl w:ilvl="0" w:tplc="268C4D4C">
      <w:start w:val="1"/>
      <w:numFmt w:val="bullet"/>
      <w:lvlText w:val=""/>
      <w:lvlJc w:val="left"/>
      <w:pPr>
        <w:ind w:left="720" w:hanging="360"/>
      </w:pPr>
      <w:rPr>
        <w:rFonts w:ascii="Symbol" w:eastAsia="Times"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B16668"/>
    <w:multiLevelType w:val="hybridMultilevel"/>
    <w:tmpl w:val="BD88901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9D7EDB"/>
    <w:multiLevelType w:val="hybridMultilevel"/>
    <w:tmpl w:val="1AF69346"/>
    <w:lvl w:ilvl="0" w:tplc="E828DFAA">
      <w:start w:val="1"/>
      <w:numFmt w:val="bullet"/>
      <w:lvlText w:val="-"/>
      <w:lvlJc w:val="left"/>
      <w:pPr>
        <w:ind w:left="1080" w:hanging="360"/>
      </w:pPr>
      <w:rPr>
        <w:rFonts w:ascii="Arial" w:eastAsia="Times"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2E1219D7"/>
    <w:multiLevelType w:val="hybridMultilevel"/>
    <w:tmpl w:val="70725D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5140EEC"/>
    <w:multiLevelType w:val="hybridMultilevel"/>
    <w:tmpl w:val="6832E0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8415F96"/>
    <w:multiLevelType w:val="hybridMultilevel"/>
    <w:tmpl w:val="4F944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74FEF"/>
    <w:multiLevelType w:val="hybridMultilevel"/>
    <w:tmpl w:val="0852B336"/>
    <w:lvl w:ilvl="0" w:tplc="04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C2E62B6"/>
    <w:multiLevelType w:val="hybridMultilevel"/>
    <w:tmpl w:val="4DC4E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D1C2547"/>
    <w:multiLevelType w:val="hybridMultilevel"/>
    <w:tmpl w:val="7D1E733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4B8F6C5F"/>
    <w:multiLevelType w:val="hybridMultilevel"/>
    <w:tmpl w:val="211463B0"/>
    <w:lvl w:ilvl="0" w:tplc="0409000F">
      <w:start w:val="1"/>
      <w:numFmt w:val="decimal"/>
      <w:lvlText w:val="%1."/>
      <w:lvlJc w:val="left"/>
      <w:pPr>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50FF03AF"/>
    <w:multiLevelType w:val="hybridMultilevel"/>
    <w:tmpl w:val="F4A280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F73656"/>
    <w:multiLevelType w:val="hybridMultilevel"/>
    <w:tmpl w:val="C6402E14"/>
    <w:lvl w:ilvl="0" w:tplc="F8C65066">
      <w:start w:val="1"/>
      <w:numFmt w:val="lowerRoman"/>
      <w:lvlText w:val="(%1)"/>
      <w:lvlJc w:val="left"/>
      <w:pPr>
        <w:ind w:left="1080" w:hanging="720"/>
      </w:pPr>
      <w:rPr>
        <w:rFonts w:ascii="Constantia" w:hAnsi="Constantia" w:cs="Constant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7C6E99"/>
    <w:multiLevelType w:val="hybridMultilevel"/>
    <w:tmpl w:val="8B665F6C"/>
    <w:lvl w:ilvl="0" w:tplc="13D04EC0">
      <w:numFmt w:val="bullet"/>
      <w:lvlText w:val=""/>
      <w:lvlJc w:val="left"/>
      <w:pPr>
        <w:ind w:left="720" w:hanging="360"/>
      </w:pPr>
      <w:rPr>
        <w:rFonts w:ascii="Symbol" w:eastAsia="Times"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A775F80"/>
    <w:multiLevelType w:val="hybridMultilevel"/>
    <w:tmpl w:val="F3C6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A451F0"/>
    <w:multiLevelType w:val="hybridMultilevel"/>
    <w:tmpl w:val="6CF69F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60474B29"/>
    <w:multiLevelType w:val="hybridMultilevel"/>
    <w:tmpl w:val="6658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67697D14"/>
    <w:multiLevelType w:val="hybridMultilevel"/>
    <w:tmpl w:val="71FEA37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A4F96"/>
    <w:multiLevelType w:val="hybridMultilevel"/>
    <w:tmpl w:val="8A08B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F83319C"/>
    <w:multiLevelType w:val="hybridMultilevel"/>
    <w:tmpl w:val="F0E07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8840A2"/>
    <w:multiLevelType w:val="hybridMultilevel"/>
    <w:tmpl w:val="8BA834B8"/>
    <w:lvl w:ilvl="0" w:tplc="3C866E00">
      <w:start w:val="1"/>
      <w:numFmt w:val="bullet"/>
      <w:lvlText w:val="-"/>
      <w:lvlJc w:val="left"/>
      <w:pPr>
        <w:ind w:left="1080" w:hanging="360"/>
      </w:pPr>
      <w:rPr>
        <w:rFonts w:ascii="Arial" w:eastAsia="Times"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727E2C8B"/>
    <w:multiLevelType w:val="hybridMultilevel"/>
    <w:tmpl w:val="F13AC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637669"/>
    <w:multiLevelType w:val="hybridMultilevel"/>
    <w:tmpl w:val="EC4CC152"/>
    <w:lvl w:ilvl="0" w:tplc="F8C65066">
      <w:start w:val="1"/>
      <w:numFmt w:val="lowerRoman"/>
      <w:lvlText w:val="(%1)"/>
      <w:lvlJc w:val="left"/>
      <w:pPr>
        <w:ind w:left="1080" w:hanging="720"/>
      </w:pPr>
      <w:rPr>
        <w:rFonts w:ascii="Constantia" w:hAnsi="Constantia" w:cs="Constant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BD493B"/>
    <w:multiLevelType w:val="hybridMultilevel"/>
    <w:tmpl w:val="40E03F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7"/>
  </w:num>
  <w:num w:numId="7">
    <w:abstractNumId w:val="28"/>
  </w:num>
  <w:num w:numId="8">
    <w:abstractNumId w:val="20"/>
  </w:num>
  <w:num w:numId="9">
    <w:abstractNumId w:val="7"/>
  </w:num>
  <w:num w:numId="10">
    <w:abstractNumId w:val="8"/>
  </w:num>
  <w:num w:numId="11">
    <w:abstractNumId w:val="10"/>
  </w:num>
  <w:num w:numId="12">
    <w:abstractNumId w:val="27"/>
  </w:num>
  <w:num w:numId="13">
    <w:abstractNumId w:val="16"/>
  </w:num>
  <w:num w:numId="14">
    <w:abstractNumId w:val="12"/>
  </w:num>
  <w:num w:numId="15">
    <w:abstractNumId w:val="30"/>
  </w:num>
  <w:num w:numId="16">
    <w:abstractNumId w:val="22"/>
  </w:num>
  <w:num w:numId="17">
    <w:abstractNumId w:val="23"/>
  </w:num>
  <w:num w:numId="18">
    <w:abstractNumId w:val="26"/>
  </w:num>
  <w:num w:numId="19">
    <w:abstractNumId w:val="15"/>
  </w:num>
  <w:num w:numId="20">
    <w:abstractNumId w:val="0"/>
  </w:num>
  <w:num w:numId="21">
    <w:abstractNumId w:val="6"/>
  </w:num>
  <w:num w:numId="22">
    <w:abstractNumId w:val="19"/>
  </w:num>
  <w:num w:numId="23">
    <w:abstractNumId w:val="11"/>
  </w:num>
  <w:num w:numId="24">
    <w:abstractNumId w:val="25"/>
  </w:num>
  <w:num w:numId="25">
    <w:abstractNumId w:val="21"/>
  </w:num>
  <w:num w:numId="26">
    <w:abstractNumId w:val="29"/>
  </w:num>
  <w:num w:numId="27">
    <w:abstractNumId w:val="13"/>
  </w:num>
  <w:num w:numId="28">
    <w:abstractNumId w:val="14"/>
  </w:num>
  <w:num w:numId="29">
    <w:abstractNumId w:val="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62434E"/>
    <w:rsid w:val="00014504"/>
    <w:rsid w:val="000202D5"/>
    <w:rsid w:val="000245E3"/>
    <w:rsid w:val="00031FCE"/>
    <w:rsid w:val="000451C2"/>
    <w:rsid w:val="00053CB5"/>
    <w:rsid w:val="00060D33"/>
    <w:rsid w:val="0006109E"/>
    <w:rsid w:val="000633D3"/>
    <w:rsid w:val="00073285"/>
    <w:rsid w:val="00096CD1"/>
    <w:rsid w:val="000A01BB"/>
    <w:rsid w:val="000E0000"/>
    <w:rsid w:val="000F31CA"/>
    <w:rsid w:val="000F3BE5"/>
    <w:rsid w:val="001049D0"/>
    <w:rsid w:val="0011090D"/>
    <w:rsid w:val="00124797"/>
    <w:rsid w:val="00132B81"/>
    <w:rsid w:val="00157571"/>
    <w:rsid w:val="001820D6"/>
    <w:rsid w:val="00186E4D"/>
    <w:rsid w:val="0019501A"/>
    <w:rsid w:val="001C50EA"/>
    <w:rsid w:val="001E163D"/>
    <w:rsid w:val="001E7A85"/>
    <w:rsid w:val="00224CF8"/>
    <w:rsid w:val="002254DF"/>
    <w:rsid w:val="00254023"/>
    <w:rsid w:val="00281CDA"/>
    <w:rsid w:val="00284516"/>
    <w:rsid w:val="002916FD"/>
    <w:rsid w:val="00295015"/>
    <w:rsid w:val="002B3B01"/>
    <w:rsid w:val="002C2647"/>
    <w:rsid w:val="002D1106"/>
    <w:rsid w:val="002D116C"/>
    <w:rsid w:val="002F313F"/>
    <w:rsid w:val="002F6AD2"/>
    <w:rsid w:val="003047A3"/>
    <w:rsid w:val="003059BB"/>
    <w:rsid w:val="00305A2E"/>
    <w:rsid w:val="00322A04"/>
    <w:rsid w:val="00324F52"/>
    <w:rsid w:val="003364FB"/>
    <w:rsid w:val="00377802"/>
    <w:rsid w:val="003824EC"/>
    <w:rsid w:val="00382A60"/>
    <w:rsid w:val="003A0641"/>
    <w:rsid w:val="003A1BEA"/>
    <w:rsid w:val="003B4C6E"/>
    <w:rsid w:val="003E5E8E"/>
    <w:rsid w:val="004037C5"/>
    <w:rsid w:val="00430F2C"/>
    <w:rsid w:val="00452212"/>
    <w:rsid w:val="00473039"/>
    <w:rsid w:val="004849EE"/>
    <w:rsid w:val="00484C29"/>
    <w:rsid w:val="004B4CB9"/>
    <w:rsid w:val="004C4299"/>
    <w:rsid w:val="004D17F3"/>
    <w:rsid w:val="004D4B68"/>
    <w:rsid w:val="004F1764"/>
    <w:rsid w:val="004F3EB9"/>
    <w:rsid w:val="004F7337"/>
    <w:rsid w:val="0051205B"/>
    <w:rsid w:val="0052049E"/>
    <w:rsid w:val="00527EEF"/>
    <w:rsid w:val="00537F8F"/>
    <w:rsid w:val="005557A0"/>
    <w:rsid w:val="00563D03"/>
    <w:rsid w:val="005766D4"/>
    <w:rsid w:val="00587904"/>
    <w:rsid w:val="00594376"/>
    <w:rsid w:val="005E58F2"/>
    <w:rsid w:val="005F12FE"/>
    <w:rsid w:val="005F2F34"/>
    <w:rsid w:val="00602BC5"/>
    <w:rsid w:val="00605DFF"/>
    <w:rsid w:val="006158C4"/>
    <w:rsid w:val="0062434E"/>
    <w:rsid w:val="006412C9"/>
    <w:rsid w:val="006464AC"/>
    <w:rsid w:val="006532E6"/>
    <w:rsid w:val="006569E8"/>
    <w:rsid w:val="0065748F"/>
    <w:rsid w:val="00667797"/>
    <w:rsid w:val="0067684D"/>
    <w:rsid w:val="00682D39"/>
    <w:rsid w:val="006B507B"/>
    <w:rsid w:val="006E5044"/>
    <w:rsid w:val="006E77F0"/>
    <w:rsid w:val="006F39B6"/>
    <w:rsid w:val="00700DD0"/>
    <w:rsid w:val="00701F43"/>
    <w:rsid w:val="007026B3"/>
    <w:rsid w:val="00724C15"/>
    <w:rsid w:val="007359FA"/>
    <w:rsid w:val="00747347"/>
    <w:rsid w:val="007531AC"/>
    <w:rsid w:val="00761C1A"/>
    <w:rsid w:val="00764827"/>
    <w:rsid w:val="007657BB"/>
    <w:rsid w:val="0078368A"/>
    <w:rsid w:val="007A67A0"/>
    <w:rsid w:val="007A7A9E"/>
    <w:rsid w:val="007F4094"/>
    <w:rsid w:val="007F548A"/>
    <w:rsid w:val="00810A7D"/>
    <w:rsid w:val="00822741"/>
    <w:rsid w:val="00833293"/>
    <w:rsid w:val="0083430D"/>
    <w:rsid w:val="00851A47"/>
    <w:rsid w:val="00883517"/>
    <w:rsid w:val="00895AC2"/>
    <w:rsid w:val="008A1517"/>
    <w:rsid w:val="008A3797"/>
    <w:rsid w:val="008B6CA8"/>
    <w:rsid w:val="008C17DC"/>
    <w:rsid w:val="008C4F5B"/>
    <w:rsid w:val="008C65F3"/>
    <w:rsid w:val="008D5108"/>
    <w:rsid w:val="008E18B1"/>
    <w:rsid w:val="0090025F"/>
    <w:rsid w:val="0090625F"/>
    <w:rsid w:val="00921421"/>
    <w:rsid w:val="00932817"/>
    <w:rsid w:val="00950ECC"/>
    <w:rsid w:val="009567A2"/>
    <w:rsid w:val="009619C9"/>
    <w:rsid w:val="0096528F"/>
    <w:rsid w:val="00967F7B"/>
    <w:rsid w:val="00971A93"/>
    <w:rsid w:val="00997412"/>
    <w:rsid w:val="009C3D51"/>
    <w:rsid w:val="009C665F"/>
    <w:rsid w:val="009C74B3"/>
    <w:rsid w:val="009D62F9"/>
    <w:rsid w:val="00A22605"/>
    <w:rsid w:val="00A40029"/>
    <w:rsid w:val="00A457B2"/>
    <w:rsid w:val="00A52272"/>
    <w:rsid w:val="00A55D43"/>
    <w:rsid w:val="00A81EE7"/>
    <w:rsid w:val="00A82E20"/>
    <w:rsid w:val="00A8614A"/>
    <w:rsid w:val="00A8752C"/>
    <w:rsid w:val="00A9128C"/>
    <w:rsid w:val="00AC708E"/>
    <w:rsid w:val="00B0338F"/>
    <w:rsid w:val="00B7565B"/>
    <w:rsid w:val="00B80ADE"/>
    <w:rsid w:val="00BD6777"/>
    <w:rsid w:val="00BF7E66"/>
    <w:rsid w:val="00C10F66"/>
    <w:rsid w:val="00C165EA"/>
    <w:rsid w:val="00C456B4"/>
    <w:rsid w:val="00C551F6"/>
    <w:rsid w:val="00C70417"/>
    <w:rsid w:val="00C7320A"/>
    <w:rsid w:val="00C83F19"/>
    <w:rsid w:val="00C94919"/>
    <w:rsid w:val="00CA1CD1"/>
    <w:rsid w:val="00CB45D9"/>
    <w:rsid w:val="00CF7003"/>
    <w:rsid w:val="00D010BD"/>
    <w:rsid w:val="00D30D4E"/>
    <w:rsid w:val="00D47F02"/>
    <w:rsid w:val="00D57479"/>
    <w:rsid w:val="00D57B22"/>
    <w:rsid w:val="00D61D25"/>
    <w:rsid w:val="00D7740A"/>
    <w:rsid w:val="00D942C0"/>
    <w:rsid w:val="00DA3279"/>
    <w:rsid w:val="00DB3A08"/>
    <w:rsid w:val="00DC4B43"/>
    <w:rsid w:val="00DC4C22"/>
    <w:rsid w:val="00DD2FDE"/>
    <w:rsid w:val="00DF5932"/>
    <w:rsid w:val="00E0325C"/>
    <w:rsid w:val="00E056F2"/>
    <w:rsid w:val="00E13253"/>
    <w:rsid w:val="00E13CD1"/>
    <w:rsid w:val="00E43E54"/>
    <w:rsid w:val="00E51E73"/>
    <w:rsid w:val="00E6396B"/>
    <w:rsid w:val="00E82922"/>
    <w:rsid w:val="00E9024E"/>
    <w:rsid w:val="00EA4F5E"/>
    <w:rsid w:val="00EA7542"/>
    <w:rsid w:val="00EB5FA6"/>
    <w:rsid w:val="00EC41B0"/>
    <w:rsid w:val="00ED1CCB"/>
    <w:rsid w:val="00EF5D45"/>
    <w:rsid w:val="00F065BC"/>
    <w:rsid w:val="00F26B66"/>
    <w:rsid w:val="00F65774"/>
    <w:rsid w:val="00F66A9E"/>
    <w:rsid w:val="00F73669"/>
    <w:rsid w:val="00F76237"/>
    <w:rsid w:val="00FA2644"/>
    <w:rsid w:val="00FB1F32"/>
    <w:rsid w:val="00FB3EDB"/>
    <w:rsid w:val="00FE21E1"/>
    <w:rsid w:val="00FE6B49"/>
    <w:rsid w:val="00FF71E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F548A"/>
    <w:rPr>
      <w:sz w:val="24"/>
    </w:rPr>
  </w:style>
  <w:style w:type="paragraph" w:styleId="Heading1">
    <w:name w:val="heading 1"/>
    <w:basedOn w:val="Normal"/>
    <w:next w:val="Normal"/>
    <w:link w:val="Heading1Char"/>
    <w:uiPriority w:val="99"/>
    <w:qFormat/>
    <w:rsid w:val="003824EC"/>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3824EC"/>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3824EC"/>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548A"/>
    <w:pPr>
      <w:tabs>
        <w:tab w:val="center" w:pos="4320"/>
        <w:tab w:val="right" w:pos="8640"/>
      </w:tabs>
    </w:pPr>
  </w:style>
  <w:style w:type="paragraph" w:styleId="Footer">
    <w:name w:val="footer"/>
    <w:basedOn w:val="Normal"/>
    <w:rsid w:val="007F548A"/>
    <w:pPr>
      <w:tabs>
        <w:tab w:val="center" w:pos="4320"/>
        <w:tab w:val="right" w:pos="8640"/>
      </w:tabs>
    </w:pPr>
  </w:style>
  <w:style w:type="character" w:styleId="PageNumber">
    <w:name w:val="page number"/>
    <w:basedOn w:val="DefaultParagraphFont"/>
    <w:rsid w:val="007F548A"/>
  </w:style>
  <w:style w:type="table" w:styleId="TableGrid">
    <w:name w:val="Table Grid"/>
    <w:basedOn w:val="TableNormal"/>
    <w:rsid w:val="00BA0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766D4"/>
    <w:pPr>
      <w:spacing w:before="100" w:beforeAutospacing="1" w:after="100" w:afterAutospacing="1"/>
    </w:pPr>
    <w:rPr>
      <w:rFonts w:ascii="Times New Roman" w:eastAsia="Times New Roman" w:hAnsi="Times New Roman"/>
      <w:szCs w:val="24"/>
      <w:lang w:val="en-CA" w:eastAsia="en-CA"/>
    </w:rPr>
  </w:style>
  <w:style w:type="paragraph" w:styleId="ListParagraph">
    <w:name w:val="List Paragraph"/>
    <w:basedOn w:val="Normal"/>
    <w:uiPriority w:val="34"/>
    <w:qFormat/>
    <w:rsid w:val="0052049E"/>
    <w:pPr>
      <w:ind w:left="720"/>
      <w:contextualSpacing/>
    </w:pPr>
    <w:rPr>
      <w:rFonts w:ascii="Constantia" w:eastAsia="Calibri" w:hAnsi="Constantia"/>
      <w:sz w:val="22"/>
      <w:szCs w:val="22"/>
      <w:lang w:val="en-CA"/>
    </w:rPr>
  </w:style>
  <w:style w:type="character" w:styleId="CommentReference">
    <w:name w:val="annotation reference"/>
    <w:basedOn w:val="DefaultParagraphFont"/>
    <w:uiPriority w:val="99"/>
    <w:rsid w:val="003A1BEA"/>
    <w:rPr>
      <w:sz w:val="16"/>
      <w:szCs w:val="16"/>
    </w:rPr>
  </w:style>
  <w:style w:type="paragraph" w:styleId="CommentText">
    <w:name w:val="annotation text"/>
    <w:basedOn w:val="Normal"/>
    <w:link w:val="CommentTextChar"/>
    <w:uiPriority w:val="99"/>
    <w:rsid w:val="003A1BEA"/>
    <w:rPr>
      <w:sz w:val="20"/>
    </w:rPr>
  </w:style>
  <w:style w:type="character" w:customStyle="1" w:styleId="CommentTextChar">
    <w:name w:val="Comment Text Char"/>
    <w:basedOn w:val="DefaultParagraphFont"/>
    <w:link w:val="CommentText"/>
    <w:uiPriority w:val="99"/>
    <w:rsid w:val="003A1BEA"/>
    <w:rPr>
      <w:lang w:val="en-US" w:eastAsia="en-US"/>
    </w:rPr>
  </w:style>
  <w:style w:type="paragraph" w:styleId="BalloonText">
    <w:name w:val="Balloon Text"/>
    <w:basedOn w:val="Normal"/>
    <w:link w:val="BalloonTextChar"/>
    <w:rsid w:val="003A1BEA"/>
    <w:rPr>
      <w:rFonts w:ascii="Tahoma" w:hAnsi="Tahoma" w:cs="Tahoma"/>
      <w:sz w:val="16"/>
      <w:szCs w:val="16"/>
    </w:rPr>
  </w:style>
  <w:style w:type="character" w:customStyle="1" w:styleId="BalloonTextChar">
    <w:name w:val="Balloon Text Char"/>
    <w:basedOn w:val="DefaultParagraphFont"/>
    <w:link w:val="BalloonText"/>
    <w:rsid w:val="003A1BEA"/>
    <w:rPr>
      <w:rFonts w:ascii="Tahoma" w:hAnsi="Tahoma" w:cs="Tahoma"/>
      <w:sz w:val="16"/>
      <w:szCs w:val="16"/>
      <w:lang w:val="en-US" w:eastAsia="en-US"/>
    </w:rPr>
  </w:style>
  <w:style w:type="paragraph" w:styleId="CommentSubject">
    <w:name w:val="annotation subject"/>
    <w:basedOn w:val="CommentText"/>
    <w:next w:val="CommentText"/>
    <w:link w:val="CommentSubjectChar"/>
    <w:rsid w:val="003A1BEA"/>
    <w:rPr>
      <w:b/>
      <w:bCs/>
    </w:rPr>
  </w:style>
  <w:style w:type="character" w:customStyle="1" w:styleId="CommentSubjectChar">
    <w:name w:val="Comment Subject Char"/>
    <w:basedOn w:val="CommentTextChar"/>
    <w:link w:val="CommentSubject"/>
    <w:rsid w:val="003A1BEA"/>
    <w:rPr>
      <w:b/>
      <w:bCs/>
    </w:rPr>
  </w:style>
  <w:style w:type="paragraph" w:customStyle="1" w:styleId="Default">
    <w:name w:val="Default"/>
    <w:uiPriority w:val="99"/>
    <w:rsid w:val="006412C9"/>
    <w:pPr>
      <w:autoSpaceDE w:val="0"/>
      <w:autoSpaceDN w:val="0"/>
      <w:adjustRightInd w:val="0"/>
    </w:pPr>
    <w:rPr>
      <w:rFonts w:ascii="Constantia" w:hAnsi="Constantia" w:cs="Constantia"/>
      <w:color w:val="000000"/>
      <w:sz w:val="24"/>
      <w:szCs w:val="24"/>
    </w:rPr>
  </w:style>
  <w:style w:type="character" w:customStyle="1" w:styleId="Heading1Char">
    <w:name w:val="Heading 1 Char"/>
    <w:basedOn w:val="DefaultParagraphFont"/>
    <w:link w:val="Heading1"/>
    <w:uiPriority w:val="99"/>
    <w:rsid w:val="003824E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3824EC"/>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3824EC"/>
    <w:rPr>
      <w:rFonts w:ascii="Arial" w:eastAsia="Times New Roman" w:hAnsi="Arial" w:cs="Arial"/>
      <w:b/>
      <w:bCs/>
      <w:sz w:val="26"/>
      <w:szCs w:val="26"/>
    </w:rPr>
  </w:style>
  <w:style w:type="character" w:styleId="Hyperlink">
    <w:name w:val="Hyperlink"/>
    <w:basedOn w:val="DefaultParagraphFont"/>
    <w:uiPriority w:val="99"/>
    <w:rsid w:val="003824EC"/>
    <w:rPr>
      <w:rFonts w:cs="Times New Roman"/>
      <w:color w:val="0000FF"/>
      <w:u w:val="single"/>
    </w:rPr>
  </w:style>
  <w:style w:type="paragraph" w:styleId="NoSpacing">
    <w:name w:val="No Spacing"/>
    <w:qFormat/>
    <w:rsid w:val="004D4B68"/>
    <w:rPr>
      <w:sz w:val="24"/>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icm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wards@icma.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1\MANAGERS\Sustainability\Charter%20Implementation\Climate%20Change\Corporate\2010\CoolTool%20(Surrey)%20Dec%20-%202011%20-%20with%20updated%20fleet.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AM9\Local%20Settings\Temporary%20Internet%20Files\Content.Outlook\GVD0APV4\GraphsWithBaseline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title>
      <c:tx>
        <c:rich>
          <a:bodyPr/>
          <a:lstStyle/>
          <a:p>
            <a:pPr>
              <a:defRPr lang="en-US"/>
            </a:pPr>
            <a:r>
              <a:rPr lang="en-US" b="1" baseline="0"/>
              <a:t>Figure 1:  Service Area </a:t>
            </a:r>
          </a:p>
          <a:p>
            <a:pPr>
              <a:defRPr lang="en-US"/>
            </a:pPr>
            <a:r>
              <a:rPr lang="en-US" baseline="0"/>
              <a:t>(% of total emissions)</a:t>
            </a:r>
            <a:endParaRPr lang="en-US"/>
          </a:p>
        </c:rich>
      </c:tx>
      <c:layout>
        <c:manualLayout>
          <c:xMode val="edge"/>
          <c:yMode val="edge"/>
          <c:x val="0.20935587969536595"/>
          <c:y val="3.6875362267146237E-2"/>
        </c:manualLayout>
      </c:layout>
      <c:spPr>
        <a:noFill/>
        <a:ln w="25400">
          <a:noFill/>
        </a:ln>
      </c:spPr>
    </c:title>
    <c:view3D>
      <c:perspective val="30"/>
    </c:view3D>
    <c:plotArea>
      <c:layout>
        <c:manualLayout>
          <c:layoutTarget val="inner"/>
          <c:xMode val="edge"/>
          <c:yMode val="edge"/>
          <c:x val="1.6790860488939758E-2"/>
          <c:y val="0.32218602923468737"/>
          <c:w val="0.89598806696522149"/>
          <c:h val="0.4265430662535768"/>
        </c:manualLayout>
      </c:layout>
      <c:pie3DChart>
        <c:varyColors val="1"/>
        <c:ser>
          <c:idx val="0"/>
          <c:order val="0"/>
          <c:tx>
            <c:v>Reporting Area GHG</c:v>
          </c:tx>
          <c:dLbls>
            <c:dLbl>
              <c:idx val="0"/>
              <c:layout>
                <c:manualLayout>
                  <c:x val="-5.891932360913902E-2"/>
                  <c:y val="-5.0554926387315992E-2"/>
                </c:manualLayout>
              </c:layout>
              <c:showVal val="1"/>
            </c:dLbl>
            <c:dLbl>
              <c:idx val="2"/>
              <c:layout>
                <c:manualLayout>
                  <c:x val="-1.1960586893851516E-2"/>
                  <c:y val="1.5826860826994589E-2"/>
                </c:manualLayout>
              </c:layout>
              <c:showVal val="1"/>
            </c:dLbl>
            <c:dLbl>
              <c:idx val="5"/>
              <c:layout>
                <c:manualLayout>
                  <c:x val="2.5991308463491524E-2"/>
                  <c:y val="-1.8147510723107652E-2"/>
                </c:manualLayout>
              </c:layout>
              <c:showVal val="1"/>
            </c:dLbl>
            <c:dLbl>
              <c:idx val="6"/>
              <c:delete val="1"/>
            </c:dLbl>
            <c:numFmt formatCode="0%" sourceLinked="0"/>
            <c:spPr>
              <a:noFill/>
              <a:ln w="25400">
                <a:noFill/>
              </a:ln>
            </c:spPr>
            <c:txPr>
              <a:bodyPr/>
              <a:lstStyle/>
              <a:p>
                <a:pPr>
                  <a:defRPr lang="en-CA"/>
                </a:pPr>
                <a:endParaRPr lang="en-US"/>
              </a:p>
            </c:txPr>
            <c:showVal val="1"/>
          </c:dLbls>
          <c:cat>
            <c:strRef>
              <c:f>'2010'!$B$295:$B$301</c:f>
              <c:strCache>
                <c:ptCount val="7"/>
                <c:pt idx="0">
                  <c:v>Admin</c:v>
                </c:pt>
                <c:pt idx="1">
                  <c:v>Fire</c:v>
                </c:pt>
                <c:pt idx="2">
                  <c:v>Recreation</c:v>
                </c:pt>
                <c:pt idx="3">
                  <c:v>Roads</c:v>
                </c:pt>
                <c:pt idx="4">
                  <c:v>Waste</c:v>
                </c:pt>
                <c:pt idx="5">
                  <c:v>Water</c:v>
                </c:pt>
                <c:pt idx="6">
                  <c:v>Not Selected</c:v>
                </c:pt>
              </c:strCache>
            </c:strRef>
          </c:cat>
          <c:val>
            <c:numRef>
              <c:f>'2010'!$D$295:$D$301</c:f>
              <c:numCache>
                <c:formatCode>0%</c:formatCode>
                <c:ptCount val="7"/>
                <c:pt idx="0">
                  <c:v>0.34041352068932129</c:v>
                </c:pt>
                <c:pt idx="1">
                  <c:v>8.5682090618322646E-2</c:v>
                </c:pt>
                <c:pt idx="2">
                  <c:v>0.34845292251626347</c:v>
                </c:pt>
                <c:pt idx="3">
                  <c:v>4.4622436956557016E-2</c:v>
                </c:pt>
                <c:pt idx="4">
                  <c:v>0.15794078290997568</c:v>
                </c:pt>
                <c:pt idx="5">
                  <c:v>1.7257319621608962E-2</c:v>
                </c:pt>
                <c:pt idx="6">
                  <c:v>5.6309266879556903E-3</c:v>
                </c:pt>
              </c:numCache>
            </c:numRef>
          </c:val>
        </c:ser>
        <c:dLbls>
          <c:showVal val="1"/>
        </c:dLbls>
      </c:pie3DChart>
      <c:spPr>
        <a:noFill/>
        <a:ln w="25400">
          <a:noFill/>
        </a:ln>
      </c:spPr>
    </c:plotArea>
    <c:legend>
      <c:legendPos val="b"/>
      <c:legendEntry>
        <c:idx val="6"/>
        <c:delete val="1"/>
      </c:legendEntry>
      <c:layout>
        <c:manualLayout>
          <c:xMode val="edge"/>
          <c:yMode val="edge"/>
          <c:x val="4.9998537068112872E-2"/>
          <c:y val="0.76925656093667749"/>
          <c:w val="0.88798932920270157"/>
          <c:h val="0.13876280515103331"/>
        </c:manualLayout>
      </c:layout>
      <c:txPr>
        <a:bodyPr/>
        <a:lstStyle/>
        <a:p>
          <a:pPr>
            <a:defRPr lang="en-US" sz="920" b="0" i="0" u="none" strike="noStrike" baseline="0">
              <a:solidFill>
                <a:srgbClr val="000000"/>
              </a:solidFill>
              <a:latin typeface="Calibri"/>
              <a:ea typeface="Calibri"/>
              <a:cs typeface="Calibri"/>
            </a:defRPr>
          </a:pPr>
          <a:endParaRPr lang="en-US"/>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CA" sz="1200" b="1" i="0" baseline="0"/>
              <a:t>Figure 2: Surrey Corporate GHG Emissions (2010)</a:t>
            </a:r>
            <a:endParaRPr lang="en-CA" sz="1600"/>
          </a:p>
        </c:rich>
      </c:tx>
      <c:layout>
        <c:manualLayout>
          <c:xMode val="edge"/>
          <c:yMode val="edge"/>
          <c:x val="0.10264562221202179"/>
          <c:y val="2.3148148148148147E-2"/>
        </c:manualLayout>
      </c:layout>
    </c:title>
    <c:plotArea>
      <c:layout/>
      <c:barChart>
        <c:barDir val="col"/>
        <c:grouping val="clustered"/>
        <c:ser>
          <c:idx val="2"/>
          <c:order val="1"/>
          <c:tx>
            <c:strRef>
              <c:f>Revised!$C$24</c:f>
            </c:strRef>
          </c:tx>
          <c:spPr>
            <a:solidFill>
              <a:schemeClr val="accent1">
                <a:lumMod val="75000"/>
              </a:schemeClr>
            </a:solidFill>
          </c:spPr>
          <c:cat>
            <c:multiLvlStrRef>
              <c:f>Revised!$B$25:$B$28</c:f>
            </c:multiLvlStrRef>
          </c:cat>
          <c:val>
            <c:numRef>
              <c:f>Revised!$C$25:$C$28</c:f>
            </c:numRef>
          </c:val>
        </c:ser>
        <c:ser>
          <c:idx val="3"/>
          <c:order val="2"/>
          <c:tx>
            <c:strRef>
              <c:f>Revised!$D$24</c:f>
            </c:strRef>
          </c:tx>
          <c:spPr>
            <a:solidFill>
              <a:schemeClr val="accent3">
                <a:lumMod val="75000"/>
              </a:schemeClr>
            </a:solidFill>
          </c:spPr>
          <c:cat>
            <c:multiLvlStrRef>
              <c:f>Revised!$B$25:$B$28</c:f>
            </c:multiLvlStrRef>
          </c:cat>
          <c:val>
            <c:numRef>
              <c:f>Revised!$D$25:$D$28</c:f>
            </c:numRef>
          </c:val>
        </c:ser>
        <c:ser>
          <c:idx val="1"/>
          <c:order val="0"/>
          <c:tx>
            <c:strRef>
              <c:f>'[GraphsWithBaselineData.xlsx]Revised Vendor Assumptions'!$D$24</c:f>
              <c:strCache>
                <c:ptCount val="1"/>
                <c:pt idx="0">
                  <c:v>2010</c:v>
                </c:pt>
              </c:strCache>
            </c:strRef>
          </c:tx>
          <c:spPr>
            <a:solidFill>
              <a:schemeClr val="accent3">
                <a:lumMod val="75000"/>
              </a:schemeClr>
            </a:solidFill>
          </c:spPr>
          <c:cat>
            <c:strRef>
              <c:f>'[GraphsWithBaselineData.xlsx]Revised Vendor Assumptions'!$B$25:$B$28</c:f>
              <c:strCache>
                <c:ptCount val="4"/>
                <c:pt idx="0">
                  <c:v>Electricity</c:v>
                </c:pt>
                <c:pt idx="1">
                  <c:v>Heat</c:v>
                </c:pt>
                <c:pt idx="2">
                  <c:v>Fleet</c:v>
                </c:pt>
                <c:pt idx="3">
                  <c:v>Total</c:v>
                </c:pt>
              </c:strCache>
            </c:strRef>
          </c:cat>
          <c:val>
            <c:numRef>
              <c:f>'[GraphsWithBaselineData.xlsx]Revised Vendor Assumptions'!$D$25:$D$28</c:f>
              <c:numCache>
                <c:formatCode>#,##0</c:formatCode>
                <c:ptCount val="4"/>
                <c:pt idx="0">
                  <c:v>1859</c:v>
                </c:pt>
                <c:pt idx="1">
                  <c:v>6272.0531696267644</c:v>
                </c:pt>
                <c:pt idx="2">
                  <c:v>7205</c:v>
                </c:pt>
                <c:pt idx="3" formatCode="0">
                  <c:v>15336.053169626763</c:v>
                </c:pt>
              </c:numCache>
            </c:numRef>
          </c:val>
        </c:ser>
        <c:axId val="90699648"/>
        <c:axId val="90701184"/>
      </c:barChart>
      <c:catAx>
        <c:axId val="90699648"/>
        <c:scaling>
          <c:orientation val="minMax"/>
        </c:scaling>
        <c:axPos val="b"/>
        <c:tickLblPos val="nextTo"/>
        <c:crossAx val="90701184"/>
        <c:crosses val="autoZero"/>
        <c:auto val="1"/>
        <c:lblAlgn val="ctr"/>
        <c:lblOffset val="100"/>
      </c:catAx>
      <c:valAx>
        <c:axId val="90701184"/>
        <c:scaling>
          <c:orientation val="minMax"/>
        </c:scaling>
        <c:axPos val="l"/>
        <c:majorGridlines/>
        <c:title>
          <c:tx>
            <c:rich>
              <a:bodyPr rot="-5400000" vert="horz"/>
              <a:lstStyle/>
              <a:p>
                <a:pPr>
                  <a:defRPr/>
                </a:pPr>
                <a:r>
                  <a:rPr lang="en-CA"/>
                  <a:t>GHG</a:t>
                </a:r>
                <a:r>
                  <a:rPr lang="en-CA" baseline="0"/>
                  <a:t> Emissions (tCO</a:t>
                </a:r>
                <a:r>
                  <a:rPr lang="en-CA" baseline="-25000"/>
                  <a:t>2</a:t>
                </a:r>
                <a:r>
                  <a:rPr lang="en-CA" baseline="0"/>
                  <a:t>e)</a:t>
                </a:r>
                <a:endParaRPr lang="en-CA"/>
              </a:p>
            </c:rich>
          </c:tx>
        </c:title>
        <c:numFmt formatCode="#,##0" sourceLinked="1"/>
        <c:tickLblPos val="nextTo"/>
        <c:crossAx val="90699648"/>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E1EC0-985D-4121-B39F-F543F6F166E9}"/>
</file>

<file path=customXml/itemProps2.xml><?xml version="1.0" encoding="utf-8"?>
<ds:datastoreItem xmlns:ds="http://schemas.openxmlformats.org/officeDocument/2006/customXml" ds:itemID="{7E49099F-339A-48FC-B915-C72343AA74C2}"/>
</file>

<file path=customXml/itemProps3.xml><?xml version="1.0" encoding="utf-8"?>
<ds:datastoreItem xmlns:ds="http://schemas.openxmlformats.org/officeDocument/2006/customXml" ds:itemID="{BB139342-079C-4930-BA6C-296725C700C1}"/>
</file>

<file path=customXml/itemProps4.xml><?xml version="1.0" encoding="utf-8"?>
<ds:datastoreItem xmlns:ds="http://schemas.openxmlformats.org/officeDocument/2006/customXml" ds:itemID="{A8B7D986-681C-4EA9-83DF-59379E4A73F2}"/>
</file>

<file path=docProps/app.xml><?xml version="1.0" encoding="utf-8"?>
<Properties xmlns="http://schemas.openxmlformats.org/officeDocument/2006/extended-properties" xmlns:vt="http://schemas.openxmlformats.org/officeDocument/2006/docPropsVTypes">
  <Template>Normal.dotm</Template>
  <TotalTime>2</TotalTime>
  <Pages>8</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2010 COMMUNITY EXCELLENCE AWARDS</vt:lpstr>
    </vt:vector>
  </TitlesOfParts>
  <Company>UBCM</Company>
  <LinksUpToDate>false</LinksUpToDate>
  <CharactersWithSpaces>7585</CharactersWithSpaces>
  <SharedDoc>false</SharedDoc>
  <HyperlinkBase/>
  <HLinks>
    <vt:vector size="12" baseType="variant">
      <vt:variant>
        <vt:i4>4980836</vt:i4>
      </vt:variant>
      <vt:variant>
        <vt:i4>12</vt:i4>
      </vt:variant>
      <vt:variant>
        <vt:i4>0</vt:i4>
      </vt:variant>
      <vt:variant>
        <vt:i4>5</vt:i4>
      </vt:variant>
      <vt:variant>
        <vt:lpwstr>mailto:awards@icma.org</vt:lpwstr>
      </vt:variant>
      <vt:variant>
        <vt:lpwstr/>
      </vt:variant>
      <vt:variant>
        <vt:i4>4980836</vt:i4>
      </vt:variant>
      <vt:variant>
        <vt:i4>9</vt:i4>
      </vt:variant>
      <vt:variant>
        <vt:i4>0</vt:i4>
      </vt:variant>
      <vt:variant>
        <vt:i4>5</vt:i4>
      </vt:variant>
      <vt:variant>
        <vt:lpwstr>mailto:awards@icma.org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COMMUNITY EXCELLENCE AWARDS</dc:title>
  <dc:creator>J. Young</dc:creator>
  <cp:lastModifiedBy>flittky</cp:lastModifiedBy>
  <cp:revision>2</cp:revision>
  <cp:lastPrinted>2010-06-11T16:54:00Z</cp:lastPrinted>
  <dcterms:created xsi:type="dcterms:W3CDTF">2012-03-19T12:30:00Z</dcterms:created>
  <dcterms:modified xsi:type="dcterms:W3CDTF">2012-03-19T12:30:00Z</dcterms:modified>
</cp:coreProperties>
</file>