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13" w:rsidRDefault="00D22613" w:rsidP="002C12C9">
      <w:pPr>
        <w:jc w:val="center"/>
        <w:rPr>
          <w:rStyle w:val="Strong"/>
        </w:rPr>
      </w:pPr>
      <w:bookmarkStart w:id="0" w:name="_MailOriginal"/>
    </w:p>
    <w:p w:rsidR="00D22613" w:rsidRDefault="00D22613" w:rsidP="002C12C9">
      <w:pPr>
        <w:jc w:val="center"/>
        <w:rPr>
          <w:rStyle w:val="Strong"/>
        </w:rPr>
      </w:pPr>
    </w:p>
    <w:p w:rsidR="00C17078" w:rsidRPr="00D32B2E" w:rsidRDefault="00C17078" w:rsidP="00D32B2E">
      <w:pPr>
        <w:jc w:val="center"/>
        <w:rPr>
          <w:sz w:val="22"/>
          <w:szCs w:val="22"/>
        </w:rPr>
      </w:pPr>
      <w:r w:rsidRPr="00D32B2E">
        <w:rPr>
          <w:rStyle w:val="Strong"/>
          <w:sz w:val="22"/>
          <w:szCs w:val="22"/>
        </w:rPr>
        <w:t>National Association of Counties </w:t>
      </w:r>
    </w:p>
    <w:p w:rsidR="00C17078" w:rsidRPr="00D32B2E" w:rsidRDefault="00C17078" w:rsidP="00D32B2E">
      <w:pPr>
        <w:jc w:val="center"/>
        <w:rPr>
          <w:sz w:val="22"/>
          <w:szCs w:val="22"/>
        </w:rPr>
      </w:pPr>
      <w:r w:rsidRPr="00D32B2E">
        <w:rPr>
          <w:rStyle w:val="Strong"/>
          <w:sz w:val="22"/>
          <w:szCs w:val="22"/>
        </w:rPr>
        <w:t>National League of Cities </w:t>
      </w:r>
    </w:p>
    <w:p w:rsidR="00C17078" w:rsidRPr="00D32B2E" w:rsidRDefault="00C17078" w:rsidP="00D32B2E">
      <w:pPr>
        <w:jc w:val="center"/>
        <w:rPr>
          <w:sz w:val="22"/>
          <w:szCs w:val="22"/>
        </w:rPr>
      </w:pPr>
      <w:r w:rsidRPr="00D32B2E">
        <w:rPr>
          <w:rStyle w:val="Strong"/>
          <w:sz w:val="22"/>
          <w:szCs w:val="22"/>
        </w:rPr>
        <w:t>U.S. Conference of Mayors </w:t>
      </w:r>
    </w:p>
    <w:p w:rsidR="00C17078" w:rsidRPr="00D32B2E" w:rsidRDefault="00C17078" w:rsidP="00D32B2E">
      <w:pPr>
        <w:jc w:val="center"/>
        <w:rPr>
          <w:sz w:val="22"/>
          <w:szCs w:val="22"/>
        </w:rPr>
      </w:pPr>
      <w:r w:rsidRPr="00D32B2E">
        <w:rPr>
          <w:rStyle w:val="Strong"/>
          <w:sz w:val="22"/>
          <w:szCs w:val="22"/>
        </w:rPr>
        <w:t>International City/County Management Association </w:t>
      </w:r>
    </w:p>
    <w:p w:rsidR="00C17078" w:rsidRPr="00D32B2E" w:rsidRDefault="00C17078" w:rsidP="00D32B2E">
      <w:pPr>
        <w:jc w:val="center"/>
        <w:rPr>
          <w:sz w:val="22"/>
          <w:szCs w:val="22"/>
        </w:rPr>
      </w:pPr>
      <w:r w:rsidRPr="00D32B2E">
        <w:rPr>
          <w:rStyle w:val="Strong"/>
          <w:sz w:val="22"/>
          <w:szCs w:val="22"/>
        </w:rPr>
        <w:t>Government Finance Officers Association </w:t>
      </w:r>
    </w:p>
    <w:p w:rsidR="00C17078" w:rsidRPr="00D32B2E" w:rsidRDefault="00C17078" w:rsidP="00D32B2E">
      <w:pPr>
        <w:jc w:val="center"/>
        <w:rPr>
          <w:sz w:val="22"/>
          <w:szCs w:val="22"/>
        </w:rPr>
      </w:pPr>
      <w:r w:rsidRPr="00D32B2E">
        <w:rPr>
          <w:rStyle w:val="Strong"/>
          <w:sz w:val="22"/>
          <w:szCs w:val="22"/>
        </w:rPr>
        <w:t>National Association of Telecommunications Officers and Advisors </w:t>
      </w:r>
    </w:p>
    <w:p w:rsidR="00C17078" w:rsidRPr="00D32B2E" w:rsidRDefault="00C17078" w:rsidP="00D32B2E">
      <w:pPr>
        <w:rPr>
          <w:color w:val="FF0000"/>
          <w:sz w:val="22"/>
          <w:szCs w:val="22"/>
        </w:rPr>
      </w:pP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 xml:space="preserve">July </w:t>
      </w:r>
      <w:r w:rsidR="0037723C">
        <w:rPr>
          <w:sz w:val="22"/>
          <w:szCs w:val="22"/>
        </w:rPr>
        <w:t>8</w:t>
      </w:r>
      <w:r w:rsidRPr="00D32B2E">
        <w:rPr>
          <w:sz w:val="22"/>
          <w:szCs w:val="22"/>
        </w:rPr>
        <w:t>, 2014</w:t>
      </w:r>
    </w:p>
    <w:p w:rsidR="00C17078" w:rsidRPr="00D32B2E" w:rsidRDefault="00C17078" w:rsidP="00D32B2E">
      <w:pPr>
        <w:rPr>
          <w:sz w:val="22"/>
          <w:szCs w:val="22"/>
        </w:rPr>
      </w:pPr>
    </w:p>
    <w:p w:rsidR="009923C2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Dear Representative, </w:t>
      </w:r>
      <w:r w:rsidRPr="00D32B2E">
        <w:rPr>
          <w:sz w:val="22"/>
          <w:szCs w:val="22"/>
        </w:rPr>
        <w:br/>
      </w:r>
      <w:r w:rsidRPr="00D32B2E">
        <w:rPr>
          <w:sz w:val="22"/>
          <w:szCs w:val="22"/>
        </w:rPr>
        <w:br/>
        <w:t>On behalf of local governments across the nation, our organizations w</w:t>
      </w:r>
      <w:r w:rsidR="009923C2">
        <w:rPr>
          <w:sz w:val="22"/>
          <w:szCs w:val="22"/>
        </w:rPr>
        <w:t xml:space="preserve">rite </w:t>
      </w:r>
      <w:r w:rsidRPr="00D32B2E">
        <w:rPr>
          <w:sz w:val="22"/>
          <w:szCs w:val="22"/>
        </w:rPr>
        <w:t xml:space="preserve">to express our </w:t>
      </w:r>
      <w:r w:rsidR="00F81E76" w:rsidRPr="00D32B2E">
        <w:rPr>
          <w:sz w:val="22"/>
          <w:szCs w:val="22"/>
        </w:rPr>
        <w:t xml:space="preserve">continuing </w:t>
      </w:r>
      <w:r w:rsidRPr="00D32B2E">
        <w:rPr>
          <w:sz w:val="22"/>
          <w:szCs w:val="22"/>
        </w:rPr>
        <w:t xml:space="preserve">opposition to H.R. 3086, the </w:t>
      </w:r>
      <w:r w:rsidRPr="00D32B2E">
        <w:rPr>
          <w:i/>
          <w:sz w:val="22"/>
          <w:szCs w:val="22"/>
        </w:rPr>
        <w:t>Permanent Internet Tax Freedom Act</w:t>
      </w:r>
      <w:r w:rsidR="002C12C9" w:rsidRPr="00D32B2E">
        <w:rPr>
          <w:sz w:val="22"/>
          <w:szCs w:val="22"/>
        </w:rPr>
        <w:t>.</w:t>
      </w:r>
      <w:r w:rsidR="00D22613" w:rsidRPr="00D32B2E">
        <w:rPr>
          <w:sz w:val="22"/>
          <w:szCs w:val="22"/>
        </w:rPr>
        <w:t xml:space="preserve">  </w:t>
      </w:r>
      <w:r w:rsidR="00321254" w:rsidRPr="00D32B2E">
        <w:rPr>
          <w:sz w:val="22"/>
          <w:szCs w:val="22"/>
        </w:rPr>
        <w:t>We urge you to oppose the legislation when it is consider</w:t>
      </w:r>
      <w:bookmarkStart w:id="1" w:name="_GoBack"/>
      <w:bookmarkEnd w:id="1"/>
      <w:r w:rsidR="00321254" w:rsidRPr="00D32B2E">
        <w:rPr>
          <w:sz w:val="22"/>
          <w:szCs w:val="22"/>
        </w:rPr>
        <w:t>ed on the House floor.</w:t>
      </w:r>
      <w:r w:rsidR="002C12C9" w:rsidRPr="00D32B2E">
        <w:rPr>
          <w:sz w:val="22"/>
          <w:szCs w:val="22"/>
        </w:rPr>
        <w:t xml:space="preserve">  </w:t>
      </w:r>
    </w:p>
    <w:p w:rsidR="009923C2" w:rsidRDefault="009923C2" w:rsidP="00D32B2E">
      <w:pPr>
        <w:rPr>
          <w:sz w:val="22"/>
          <w:szCs w:val="22"/>
        </w:rPr>
      </w:pP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The most recent estimate</w:t>
      </w:r>
      <w:r w:rsidR="007B3CAF" w:rsidRPr="00D32B2E">
        <w:rPr>
          <w:sz w:val="22"/>
          <w:szCs w:val="22"/>
        </w:rPr>
        <w:t>s</w:t>
      </w:r>
      <w:r w:rsidRPr="00D32B2E">
        <w:rPr>
          <w:sz w:val="22"/>
          <w:szCs w:val="22"/>
        </w:rPr>
        <w:t xml:space="preserve"> </w:t>
      </w:r>
      <w:r w:rsidR="00321254" w:rsidRPr="00D32B2E">
        <w:rPr>
          <w:sz w:val="22"/>
          <w:szCs w:val="22"/>
        </w:rPr>
        <w:t xml:space="preserve">provided by </w:t>
      </w:r>
      <w:r w:rsidRPr="00D32B2E">
        <w:rPr>
          <w:sz w:val="22"/>
          <w:szCs w:val="22"/>
        </w:rPr>
        <w:t>the Congressional Budget Office indicate that</w:t>
      </w:r>
      <w:r w:rsidR="00321254" w:rsidRPr="00D32B2E">
        <w:rPr>
          <w:sz w:val="22"/>
          <w:szCs w:val="22"/>
        </w:rPr>
        <w:t>,</w:t>
      </w:r>
      <w:r w:rsidRPr="00D32B2E">
        <w:rPr>
          <w:sz w:val="22"/>
          <w:szCs w:val="22"/>
        </w:rPr>
        <w:t xml:space="preserve"> if</w:t>
      </w:r>
      <w:r w:rsidR="00321254" w:rsidRPr="00D32B2E">
        <w:rPr>
          <w:sz w:val="22"/>
          <w:szCs w:val="22"/>
        </w:rPr>
        <w:t xml:space="preserve"> enacted, H.R. 3086</w:t>
      </w:r>
      <w:r w:rsidRPr="00D32B2E">
        <w:rPr>
          <w:sz w:val="22"/>
          <w:szCs w:val="22"/>
        </w:rPr>
        <w:t xml:space="preserve"> </w:t>
      </w:r>
      <w:r w:rsidR="00321254" w:rsidRPr="00D32B2E">
        <w:rPr>
          <w:sz w:val="22"/>
          <w:szCs w:val="22"/>
        </w:rPr>
        <w:t>would c</w:t>
      </w:r>
      <w:r w:rsidR="009923C2">
        <w:rPr>
          <w:sz w:val="22"/>
          <w:szCs w:val="22"/>
        </w:rPr>
        <w:t xml:space="preserve">ost </w:t>
      </w:r>
      <w:r w:rsidR="00321254" w:rsidRPr="00D32B2E">
        <w:rPr>
          <w:sz w:val="22"/>
          <w:szCs w:val="22"/>
        </w:rPr>
        <w:t>state and local</w:t>
      </w:r>
      <w:r w:rsidR="009923C2">
        <w:rPr>
          <w:sz w:val="22"/>
          <w:szCs w:val="22"/>
        </w:rPr>
        <w:t xml:space="preserve"> governments </w:t>
      </w:r>
      <w:r w:rsidRPr="00D32B2E">
        <w:rPr>
          <w:sz w:val="22"/>
          <w:szCs w:val="22"/>
        </w:rPr>
        <w:t>hundr</w:t>
      </w:r>
      <w:r w:rsidR="009923C2">
        <w:rPr>
          <w:sz w:val="22"/>
          <w:szCs w:val="22"/>
        </w:rPr>
        <w:t xml:space="preserve">eds of </w:t>
      </w:r>
      <w:r w:rsidRPr="00D32B2E">
        <w:rPr>
          <w:sz w:val="22"/>
          <w:szCs w:val="22"/>
        </w:rPr>
        <w:t>million</w:t>
      </w:r>
      <w:r w:rsidR="009923C2">
        <w:rPr>
          <w:sz w:val="22"/>
          <w:szCs w:val="22"/>
        </w:rPr>
        <w:t>s</w:t>
      </w:r>
      <w:r w:rsidR="006441A7">
        <w:rPr>
          <w:sz w:val="22"/>
          <w:szCs w:val="22"/>
        </w:rPr>
        <w:t xml:space="preserve"> </w:t>
      </w:r>
      <w:r w:rsidR="009923C2">
        <w:rPr>
          <w:sz w:val="22"/>
          <w:szCs w:val="22"/>
        </w:rPr>
        <w:t xml:space="preserve">of </w:t>
      </w:r>
      <w:r w:rsidRPr="00D32B2E">
        <w:rPr>
          <w:sz w:val="22"/>
          <w:szCs w:val="22"/>
        </w:rPr>
        <w:t xml:space="preserve">dollars </w:t>
      </w:r>
      <w:r w:rsidR="009923C2">
        <w:rPr>
          <w:sz w:val="22"/>
          <w:szCs w:val="22"/>
        </w:rPr>
        <w:t xml:space="preserve">in lost revenues.  </w:t>
      </w:r>
      <w:r w:rsidR="00F81E76" w:rsidRPr="00D32B2E">
        <w:rPr>
          <w:sz w:val="22"/>
          <w:szCs w:val="22"/>
        </w:rPr>
        <w:t>T</w:t>
      </w:r>
      <w:r w:rsidRPr="00D32B2E">
        <w:rPr>
          <w:sz w:val="22"/>
          <w:szCs w:val="22"/>
        </w:rPr>
        <w:t>h</w:t>
      </w:r>
      <w:r w:rsidR="009923C2">
        <w:rPr>
          <w:sz w:val="22"/>
          <w:szCs w:val="22"/>
        </w:rPr>
        <w:t xml:space="preserve">ese are </w:t>
      </w:r>
      <w:r w:rsidRPr="00D32B2E">
        <w:rPr>
          <w:sz w:val="22"/>
          <w:szCs w:val="22"/>
        </w:rPr>
        <w:t>revenue</w:t>
      </w:r>
      <w:r w:rsidR="009923C2">
        <w:rPr>
          <w:sz w:val="22"/>
          <w:szCs w:val="22"/>
        </w:rPr>
        <w:t xml:space="preserve">s that local governments rely upon to fund </w:t>
      </w:r>
      <w:r w:rsidRPr="00D32B2E">
        <w:rPr>
          <w:sz w:val="22"/>
          <w:szCs w:val="22"/>
        </w:rPr>
        <w:t>essential services</w:t>
      </w:r>
      <w:r w:rsidR="009923C2">
        <w:rPr>
          <w:sz w:val="22"/>
          <w:szCs w:val="22"/>
        </w:rPr>
        <w:t xml:space="preserve"> in their communities,</w:t>
      </w:r>
      <w:r w:rsidR="00321254" w:rsidRPr="00D32B2E">
        <w:rPr>
          <w:sz w:val="22"/>
          <w:szCs w:val="22"/>
        </w:rPr>
        <w:t xml:space="preserve"> </w:t>
      </w:r>
      <w:r w:rsidRPr="00D32B2E">
        <w:rPr>
          <w:sz w:val="22"/>
          <w:szCs w:val="22"/>
        </w:rPr>
        <w:t>including well-trained firefighters and police officers; schools, parks, community centers and libraries to support youth; retirement security for dedicated career employees; and continued investment</w:t>
      </w:r>
      <w:r w:rsidR="009923C2">
        <w:rPr>
          <w:sz w:val="22"/>
          <w:szCs w:val="22"/>
        </w:rPr>
        <w:t>s</w:t>
      </w:r>
      <w:r w:rsidRPr="00D32B2E">
        <w:rPr>
          <w:sz w:val="22"/>
          <w:szCs w:val="22"/>
        </w:rPr>
        <w:t xml:space="preserve"> to fix aging infrastructure.</w:t>
      </w:r>
    </w:p>
    <w:p w:rsidR="00141835" w:rsidRDefault="00C17078" w:rsidP="00D32B2E">
      <w:pPr>
        <w:rPr>
          <w:rFonts w:eastAsia="Times New Roman"/>
          <w:sz w:val="22"/>
          <w:szCs w:val="22"/>
        </w:rPr>
      </w:pPr>
      <w:r w:rsidRPr="00D32B2E">
        <w:rPr>
          <w:sz w:val="22"/>
          <w:szCs w:val="22"/>
        </w:rPr>
        <w:br/>
      </w:r>
      <w:r w:rsidR="009923C2">
        <w:rPr>
          <w:rFonts w:eastAsia="Times New Roman"/>
          <w:sz w:val="22"/>
          <w:szCs w:val="22"/>
        </w:rPr>
        <w:t xml:space="preserve">In addition, now that Internet </w:t>
      </w:r>
      <w:r w:rsidR="00141835">
        <w:rPr>
          <w:rFonts w:eastAsia="Times New Roman"/>
          <w:sz w:val="22"/>
          <w:szCs w:val="22"/>
        </w:rPr>
        <w:t>access i</w:t>
      </w:r>
      <w:r w:rsidR="009923C2">
        <w:rPr>
          <w:rFonts w:eastAsia="Times New Roman"/>
          <w:sz w:val="22"/>
          <w:szCs w:val="22"/>
        </w:rPr>
        <w:t>s ubiquit</w:t>
      </w:r>
      <w:r w:rsidR="00141835">
        <w:rPr>
          <w:rFonts w:eastAsia="Times New Roman"/>
          <w:sz w:val="22"/>
          <w:szCs w:val="22"/>
        </w:rPr>
        <w:t>ous and its use generates score</w:t>
      </w:r>
      <w:r w:rsidR="00230BFE">
        <w:rPr>
          <w:rFonts w:eastAsia="Times New Roman"/>
          <w:sz w:val="22"/>
          <w:szCs w:val="22"/>
        </w:rPr>
        <w:t xml:space="preserve">s of billions of dollars in revenue annually, it no longer justifies protection from state and local taxation. When the law was first enacted in 1998, </w:t>
      </w:r>
      <w:r w:rsidR="00230BFE" w:rsidRPr="00D32B2E">
        <w:rPr>
          <w:rFonts w:eastAsia="Times New Roman"/>
          <w:sz w:val="22"/>
          <w:szCs w:val="22"/>
        </w:rPr>
        <w:t xml:space="preserve">the </w:t>
      </w:r>
      <w:r w:rsidR="00230BFE">
        <w:rPr>
          <w:rFonts w:eastAsia="Times New Roman"/>
          <w:sz w:val="22"/>
          <w:szCs w:val="22"/>
        </w:rPr>
        <w:t>I</w:t>
      </w:r>
      <w:r w:rsidR="00230BFE" w:rsidRPr="00D32B2E">
        <w:rPr>
          <w:rFonts w:eastAsia="Times New Roman"/>
          <w:sz w:val="22"/>
          <w:szCs w:val="22"/>
        </w:rPr>
        <w:t xml:space="preserve">nternet access and commerce industries were in their infancy and only beginning to be significantly available to households.  The </w:t>
      </w:r>
      <w:r w:rsidR="006441A7">
        <w:rPr>
          <w:rFonts w:eastAsia="Times New Roman"/>
          <w:sz w:val="22"/>
          <w:szCs w:val="22"/>
        </w:rPr>
        <w:t xml:space="preserve">intent of the </w:t>
      </w:r>
      <w:r w:rsidR="00230BFE" w:rsidRPr="00D32B2E">
        <w:rPr>
          <w:rFonts w:eastAsia="Times New Roman"/>
          <w:sz w:val="22"/>
          <w:szCs w:val="22"/>
        </w:rPr>
        <w:t>moratorium was to give the then-</w:t>
      </w:r>
      <w:r w:rsidR="00230BFE">
        <w:rPr>
          <w:rFonts w:eastAsia="Times New Roman"/>
          <w:sz w:val="22"/>
          <w:szCs w:val="22"/>
        </w:rPr>
        <w:t>nascent</w:t>
      </w:r>
      <w:r w:rsidR="00230BFE" w:rsidRPr="00D32B2E">
        <w:rPr>
          <w:rFonts w:eastAsia="Times New Roman"/>
          <w:sz w:val="22"/>
          <w:szCs w:val="22"/>
        </w:rPr>
        <w:t xml:space="preserve"> </w:t>
      </w:r>
      <w:r w:rsidR="006441A7">
        <w:rPr>
          <w:rFonts w:eastAsia="Times New Roman"/>
          <w:sz w:val="22"/>
          <w:szCs w:val="22"/>
        </w:rPr>
        <w:t>I</w:t>
      </w:r>
      <w:r w:rsidR="00230BFE" w:rsidRPr="00D32B2E">
        <w:rPr>
          <w:rFonts w:eastAsia="Times New Roman"/>
          <w:sz w:val="22"/>
          <w:szCs w:val="22"/>
        </w:rPr>
        <w:t xml:space="preserve">nternet industry time to grow and become established.  </w:t>
      </w:r>
      <w:r w:rsidR="006441A7">
        <w:rPr>
          <w:rFonts w:eastAsia="Times New Roman"/>
          <w:sz w:val="22"/>
          <w:szCs w:val="22"/>
        </w:rPr>
        <w:t>However, e</w:t>
      </w:r>
      <w:r w:rsidR="00141835">
        <w:rPr>
          <w:rFonts w:eastAsia="Times New Roman"/>
          <w:sz w:val="22"/>
          <w:szCs w:val="22"/>
        </w:rPr>
        <w:t xml:space="preserve">ven </w:t>
      </w:r>
      <w:r w:rsidR="006441A7">
        <w:rPr>
          <w:rFonts w:eastAsia="Times New Roman"/>
          <w:sz w:val="22"/>
          <w:szCs w:val="22"/>
        </w:rPr>
        <w:t>at that time</w:t>
      </w:r>
      <w:r w:rsidR="00141835">
        <w:rPr>
          <w:rFonts w:eastAsia="Times New Roman"/>
          <w:sz w:val="22"/>
          <w:szCs w:val="22"/>
        </w:rPr>
        <w:t>, Congress recognized that the ban should not be permanent.</w:t>
      </w:r>
      <w:r w:rsidR="000C39DB">
        <w:rPr>
          <w:rFonts w:eastAsia="Times New Roman"/>
          <w:sz w:val="22"/>
          <w:szCs w:val="22"/>
        </w:rPr>
        <w:t xml:space="preserve">  </w:t>
      </w:r>
    </w:p>
    <w:p w:rsidR="005937C6" w:rsidRDefault="005937C6" w:rsidP="00D32B2E">
      <w:pPr>
        <w:rPr>
          <w:rFonts w:eastAsia="Times New Roman"/>
          <w:sz w:val="22"/>
          <w:szCs w:val="22"/>
        </w:rPr>
      </w:pPr>
    </w:p>
    <w:p w:rsidR="00230BFE" w:rsidRDefault="002E420D" w:rsidP="00230BF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Finally, a</w:t>
      </w:r>
      <w:r w:rsidR="00300556">
        <w:rPr>
          <w:rFonts w:eastAsia="Times New Roman"/>
          <w:sz w:val="22"/>
          <w:szCs w:val="22"/>
        </w:rPr>
        <w:t xml:space="preserve">s the telecommunications and cable service industries transition to broadband, the scope of what </w:t>
      </w:r>
      <w:r>
        <w:rPr>
          <w:rFonts w:eastAsia="Times New Roman"/>
          <w:sz w:val="22"/>
          <w:szCs w:val="22"/>
        </w:rPr>
        <w:t xml:space="preserve">the </w:t>
      </w:r>
      <w:r w:rsidR="00300556">
        <w:rPr>
          <w:rFonts w:eastAsia="Times New Roman"/>
          <w:sz w:val="22"/>
          <w:szCs w:val="22"/>
        </w:rPr>
        <w:t>ITFA immunizes from state and local taxation is rapidly expanding.  Over time, the ITFA would arbitrarily exempt this fast growing, prosperous</w:t>
      </w:r>
      <w:r w:rsidR="005937C6">
        <w:rPr>
          <w:rFonts w:eastAsia="Times New Roman"/>
          <w:sz w:val="22"/>
          <w:szCs w:val="22"/>
        </w:rPr>
        <w:t xml:space="preserve"> </w:t>
      </w:r>
      <w:r w:rsidR="00CF4C1A">
        <w:rPr>
          <w:rFonts w:eastAsia="Times New Roman"/>
          <w:sz w:val="22"/>
          <w:szCs w:val="22"/>
        </w:rPr>
        <w:t xml:space="preserve">sector of </w:t>
      </w:r>
      <w:r w:rsidR="00141835" w:rsidRPr="00D32B2E">
        <w:rPr>
          <w:rFonts w:eastAsia="Times New Roman"/>
          <w:sz w:val="22"/>
          <w:szCs w:val="22"/>
        </w:rPr>
        <w:t xml:space="preserve">the economy </w:t>
      </w:r>
      <w:r w:rsidR="00CF4C1A">
        <w:rPr>
          <w:rFonts w:eastAsia="Times New Roman"/>
          <w:sz w:val="22"/>
          <w:szCs w:val="22"/>
        </w:rPr>
        <w:t>from taxation</w:t>
      </w:r>
      <w:r w:rsidR="006441A7">
        <w:rPr>
          <w:rFonts w:eastAsia="Times New Roman"/>
          <w:sz w:val="22"/>
          <w:szCs w:val="22"/>
        </w:rPr>
        <w:t>,</w:t>
      </w:r>
      <w:r w:rsidR="00CF4C1A">
        <w:rPr>
          <w:rFonts w:eastAsia="Times New Roman"/>
          <w:sz w:val="22"/>
          <w:szCs w:val="22"/>
        </w:rPr>
        <w:t xml:space="preserve"> and unfairly shift the burden of supporting essential local services onto other businesses and residents in a community</w:t>
      </w:r>
      <w:r w:rsidR="005937C6">
        <w:rPr>
          <w:rFonts w:eastAsia="Times New Roman"/>
          <w:sz w:val="22"/>
          <w:szCs w:val="22"/>
        </w:rPr>
        <w:t>.</w:t>
      </w:r>
    </w:p>
    <w:p w:rsidR="005937C6" w:rsidRDefault="005937C6" w:rsidP="00230BFE">
      <w:pPr>
        <w:rPr>
          <w:rFonts w:eastAsia="Times New Roman"/>
          <w:sz w:val="22"/>
          <w:szCs w:val="22"/>
        </w:rPr>
      </w:pPr>
    </w:p>
    <w:p w:rsidR="002C12C9" w:rsidRPr="00D32B2E" w:rsidRDefault="00D22613" w:rsidP="00D32B2E">
      <w:pPr>
        <w:rPr>
          <w:rFonts w:eastAsia="Times New Roman"/>
          <w:sz w:val="22"/>
          <w:szCs w:val="22"/>
        </w:rPr>
      </w:pPr>
      <w:r w:rsidRPr="00D32B2E">
        <w:rPr>
          <w:rFonts w:eastAsia="Times New Roman"/>
          <w:sz w:val="22"/>
          <w:szCs w:val="22"/>
        </w:rPr>
        <w:t xml:space="preserve">For </w:t>
      </w:r>
      <w:r w:rsidR="00F81E76" w:rsidRPr="00D32B2E">
        <w:rPr>
          <w:rFonts w:eastAsia="Times New Roman"/>
          <w:sz w:val="22"/>
          <w:szCs w:val="22"/>
        </w:rPr>
        <w:t xml:space="preserve">all of </w:t>
      </w:r>
      <w:r w:rsidRPr="00D32B2E">
        <w:rPr>
          <w:rFonts w:eastAsia="Times New Roman"/>
          <w:sz w:val="22"/>
          <w:szCs w:val="22"/>
        </w:rPr>
        <w:t xml:space="preserve">these reasons, we urge you to </w:t>
      </w:r>
      <w:r w:rsidR="00F535FE">
        <w:rPr>
          <w:rFonts w:eastAsia="Times New Roman"/>
          <w:sz w:val="22"/>
          <w:szCs w:val="22"/>
        </w:rPr>
        <w:t>vote against</w:t>
      </w:r>
      <w:r w:rsidR="00F81E76" w:rsidRPr="00D32B2E">
        <w:rPr>
          <w:rFonts w:eastAsia="Times New Roman"/>
          <w:sz w:val="22"/>
          <w:szCs w:val="22"/>
        </w:rPr>
        <w:t xml:space="preserve"> the </w:t>
      </w:r>
      <w:r w:rsidRPr="00D32B2E">
        <w:rPr>
          <w:rFonts w:eastAsia="Times New Roman"/>
          <w:i/>
          <w:sz w:val="22"/>
          <w:szCs w:val="22"/>
        </w:rPr>
        <w:t>Permanent Internet Tax Freedom Act</w:t>
      </w:r>
      <w:r w:rsidRPr="00D32B2E">
        <w:rPr>
          <w:rFonts w:eastAsia="Times New Roman"/>
          <w:sz w:val="22"/>
          <w:szCs w:val="22"/>
        </w:rPr>
        <w:t>, H.R. 3086.</w:t>
      </w:r>
    </w:p>
    <w:p w:rsidR="002C12C9" w:rsidRPr="00D32B2E" w:rsidRDefault="002C12C9" w:rsidP="00D32B2E">
      <w:pPr>
        <w:rPr>
          <w:rFonts w:eastAsia="Times New Roman"/>
          <w:sz w:val="22"/>
          <w:szCs w:val="22"/>
        </w:rPr>
      </w:pP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Sincerely,</w:t>
      </w:r>
    </w:p>
    <w:p w:rsidR="00C17078" w:rsidRPr="00D32B2E" w:rsidRDefault="00C17078" w:rsidP="00D32B2E">
      <w:pPr>
        <w:rPr>
          <w:sz w:val="22"/>
          <w:szCs w:val="22"/>
        </w:rPr>
      </w:pP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Matthew D. Chase</w:t>
      </w: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Executive Director, National Association of Counties </w:t>
      </w:r>
    </w:p>
    <w:p w:rsidR="00C17078" w:rsidRPr="00D32B2E" w:rsidRDefault="00C17078" w:rsidP="00D32B2E">
      <w:pPr>
        <w:rPr>
          <w:sz w:val="22"/>
          <w:szCs w:val="22"/>
        </w:rPr>
      </w:pP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Clarence E. Anthony</w:t>
      </w: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Executive Director, National League of Cities </w:t>
      </w:r>
    </w:p>
    <w:p w:rsidR="00C17078" w:rsidRPr="00D32B2E" w:rsidRDefault="00C17078" w:rsidP="00D32B2E">
      <w:pPr>
        <w:rPr>
          <w:sz w:val="22"/>
          <w:szCs w:val="22"/>
        </w:rPr>
      </w:pP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Tom Cochran</w:t>
      </w: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Executive Director, U.S. Conference of Mayors </w:t>
      </w:r>
    </w:p>
    <w:p w:rsidR="00C17078" w:rsidRPr="00D32B2E" w:rsidRDefault="00C17078" w:rsidP="00D32B2E">
      <w:pPr>
        <w:rPr>
          <w:sz w:val="22"/>
          <w:szCs w:val="22"/>
        </w:rPr>
      </w:pP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Robert J. O'Neill </w:t>
      </w: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Executive Director, International City/County Management Association </w:t>
      </w:r>
    </w:p>
    <w:p w:rsidR="00C17078" w:rsidRPr="00D32B2E" w:rsidRDefault="00C17078" w:rsidP="00D32B2E">
      <w:pPr>
        <w:rPr>
          <w:sz w:val="22"/>
          <w:szCs w:val="22"/>
        </w:rPr>
      </w:pPr>
    </w:p>
    <w:p w:rsidR="00B53254" w:rsidRDefault="00B53254" w:rsidP="00D32B2E">
      <w:pPr>
        <w:rPr>
          <w:sz w:val="22"/>
          <w:szCs w:val="22"/>
        </w:rPr>
      </w:pP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Jeffrey L. Esser </w:t>
      </w: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Executive Director, Government Finance Officers Association </w:t>
      </w:r>
    </w:p>
    <w:p w:rsidR="002C12C9" w:rsidRPr="00D32B2E" w:rsidRDefault="002C12C9" w:rsidP="00D32B2E">
      <w:pPr>
        <w:rPr>
          <w:sz w:val="22"/>
          <w:szCs w:val="22"/>
        </w:rPr>
      </w:pP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Stephen Traylor, </w:t>
      </w: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sz w:val="22"/>
          <w:szCs w:val="22"/>
        </w:rPr>
        <w:t>Executive Director, National Association of Telecommunications Officers and Advisors </w:t>
      </w:r>
    </w:p>
    <w:p w:rsidR="00C17078" w:rsidRPr="00D32B2E" w:rsidRDefault="00C17078" w:rsidP="00D32B2E">
      <w:pPr>
        <w:rPr>
          <w:sz w:val="22"/>
          <w:szCs w:val="22"/>
        </w:rPr>
      </w:pPr>
      <w:r w:rsidRPr="00D32B2E">
        <w:rPr>
          <w:noProof/>
          <w:sz w:val="22"/>
          <w:szCs w:val="22"/>
        </w:rPr>
        <w:drawing>
          <wp:inline distT="0" distB="0" distL="0" distR="0" wp14:anchorId="61B40A75" wp14:editId="53021786">
            <wp:extent cx="7620" cy="7620"/>
            <wp:effectExtent l="0" t="0" r="0" b="0"/>
            <wp:docPr id="1" name="Picture 1" descr="https://ssl.capwiz.com/SSLProxy/naco/utr/i1/NEFOTWGZCR/%5bcapwiz:queue_id%5d/img/spacer.gif?host=www.capwiz.com&amp;port=80&amp;path_query=%2Fnaco%2Futr%2Fi1%2FNEFOTWGZCR%2F%5Bcapwiz:queue_id%5D%2Fimg%2F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capwiz.com/SSLProxy/naco/utr/i1/NEFOTWGZCR/%5bcapwiz:queue_id%5d/img/spacer.gif?host=www.capwiz.com&amp;port=80&amp;path_query=%2Fnaco%2Futr%2Fi1%2FNEFOTWGZCR%2F%5Bcapwiz:queue_id%5D%2Fimg%2F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1428" w:rsidRPr="00D32B2E" w:rsidRDefault="00E11428" w:rsidP="00D32B2E">
      <w:pPr>
        <w:rPr>
          <w:sz w:val="22"/>
          <w:szCs w:val="22"/>
        </w:rPr>
      </w:pPr>
    </w:p>
    <w:sectPr w:rsidR="00E11428" w:rsidRPr="00D3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28"/>
    <w:rsid w:val="000C39DB"/>
    <w:rsid w:val="000D065E"/>
    <w:rsid w:val="00141835"/>
    <w:rsid w:val="00230BFE"/>
    <w:rsid w:val="002C12C9"/>
    <w:rsid w:val="002E420D"/>
    <w:rsid w:val="00300556"/>
    <w:rsid w:val="00321254"/>
    <w:rsid w:val="00324549"/>
    <w:rsid w:val="0037723C"/>
    <w:rsid w:val="004A1922"/>
    <w:rsid w:val="005937C6"/>
    <w:rsid w:val="005B3934"/>
    <w:rsid w:val="006441A7"/>
    <w:rsid w:val="007B3CAF"/>
    <w:rsid w:val="0087780D"/>
    <w:rsid w:val="00927C36"/>
    <w:rsid w:val="009923C2"/>
    <w:rsid w:val="00A32D75"/>
    <w:rsid w:val="00B53254"/>
    <w:rsid w:val="00C17078"/>
    <w:rsid w:val="00CF4C1A"/>
    <w:rsid w:val="00D22613"/>
    <w:rsid w:val="00D30DCA"/>
    <w:rsid w:val="00D32B2E"/>
    <w:rsid w:val="00DA1B3B"/>
    <w:rsid w:val="00DB7969"/>
    <w:rsid w:val="00DF740D"/>
    <w:rsid w:val="00E11428"/>
    <w:rsid w:val="00F535FE"/>
    <w:rsid w:val="00F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54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70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3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5F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5FE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0BF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54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70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3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5F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5FE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0BF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448F-A211-4A22-82E6-601F2C32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BTBerger</dc:creator>
  <cp:lastModifiedBy>cbarberot</cp:lastModifiedBy>
  <cp:revision>3</cp:revision>
  <cp:lastPrinted>2014-07-02T14:55:00Z</cp:lastPrinted>
  <dcterms:created xsi:type="dcterms:W3CDTF">2014-07-11T12:56:00Z</dcterms:created>
  <dcterms:modified xsi:type="dcterms:W3CDTF">2014-07-11T13:02:00Z</dcterms:modified>
</cp:coreProperties>
</file>