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300" w:type="dxa"/>
        <w:tblInd w:w="18" w:type="dxa"/>
        <w:tblBorders>
          <w:bottom w:val="thinThickSmallGap" w:sz="24" w:space="0" w:color="auto"/>
        </w:tblBorders>
        <w:tblLayout w:type="fixed"/>
        <w:tblLook w:val="0000" w:firstRow="0" w:lastRow="0" w:firstColumn="0" w:lastColumn="0" w:noHBand="0" w:noVBand="0"/>
      </w:tblPr>
      <w:tblGrid>
        <w:gridCol w:w="3150"/>
        <w:gridCol w:w="450"/>
        <w:gridCol w:w="2700"/>
      </w:tblGrid>
      <w:tr w:rsidR="00747681" w:rsidRPr="00315AA8" w14:paraId="4825ADD2" w14:textId="77777777" w:rsidTr="006D0BEB">
        <w:trPr>
          <w:trHeight w:val="351"/>
        </w:trPr>
        <w:tc>
          <w:tcPr>
            <w:tcW w:w="6300" w:type="dxa"/>
            <w:gridSpan w:val="3"/>
            <w:tcBorders>
              <w:bottom w:val="thinThickSmallGap" w:sz="24" w:space="0" w:color="auto"/>
            </w:tcBorders>
          </w:tcPr>
          <w:p w14:paraId="4167DA12" w14:textId="3B4F046A" w:rsidR="00747681" w:rsidRPr="00315AA8" w:rsidRDefault="00747681" w:rsidP="008F7B07">
            <w:pPr>
              <w:pStyle w:val="CaseNumber"/>
              <w:spacing w:after="120"/>
            </w:pPr>
            <w:bookmarkStart w:id="0" w:name="_GoBack"/>
            <w:bookmarkEnd w:id="0"/>
            <w:r w:rsidRPr="00315AA8">
              <w:t xml:space="preserve">No. </w:t>
            </w:r>
            <w:r w:rsidR="008F7B07">
              <w:t>13-485</w:t>
            </w:r>
          </w:p>
        </w:tc>
      </w:tr>
      <w:tr w:rsidR="00747681" w:rsidRPr="00552648" w14:paraId="159A3A33" w14:textId="77777777" w:rsidTr="006D0BEB">
        <w:trPr>
          <w:trHeight w:val="441"/>
        </w:trPr>
        <w:tc>
          <w:tcPr>
            <w:tcW w:w="6300" w:type="dxa"/>
            <w:gridSpan w:val="3"/>
            <w:tcBorders>
              <w:top w:val="thinThickSmallGap" w:sz="24" w:space="0" w:color="auto"/>
            </w:tcBorders>
          </w:tcPr>
          <w:p w14:paraId="688A1D7D" w14:textId="77777777" w:rsidR="00747681" w:rsidRPr="00552648" w:rsidRDefault="00747681" w:rsidP="005D758F">
            <w:pPr>
              <w:spacing w:before="240" w:line="230" w:lineRule="exact"/>
              <w:jc w:val="center"/>
              <w:rPr>
                <w:rFonts w:ascii="Old English Text MT" w:hAnsi="Old English Text MT"/>
                <w:bCs/>
              </w:rPr>
            </w:pPr>
            <w:r w:rsidRPr="00552648">
              <w:rPr>
                <w:rFonts w:ascii="Old English Text MT" w:hAnsi="Old English Text MT"/>
                <w:bCs/>
              </w:rPr>
              <w:t>In the</w:t>
            </w:r>
          </w:p>
        </w:tc>
      </w:tr>
      <w:tr w:rsidR="00747681" w:rsidRPr="00552648" w14:paraId="1283D658" w14:textId="77777777" w:rsidTr="006D0BEB">
        <w:trPr>
          <w:trHeight w:val="450"/>
        </w:trPr>
        <w:tc>
          <w:tcPr>
            <w:tcW w:w="6300" w:type="dxa"/>
            <w:gridSpan w:val="3"/>
          </w:tcPr>
          <w:p w14:paraId="58B77EAF" w14:textId="77777777" w:rsidR="00747681" w:rsidRPr="00552648" w:rsidRDefault="00747681" w:rsidP="005D758F">
            <w:pPr>
              <w:spacing w:line="380" w:lineRule="exact"/>
              <w:jc w:val="center"/>
              <w:rPr>
                <w:rFonts w:ascii="Old English Text MT" w:hAnsi="Old English Text MT"/>
                <w:bCs/>
                <w:sz w:val="38"/>
              </w:rPr>
            </w:pPr>
            <w:r w:rsidRPr="00552648">
              <w:rPr>
                <w:rFonts w:ascii="Old English Text MT" w:hAnsi="Old English Text MT"/>
                <w:bCs/>
                <w:sz w:val="38"/>
              </w:rPr>
              <w:t>Supreme Court of the United States</w:t>
            </w:r>
          </w:p>
        </w:tc>
      </w:tr>
      <w:tr w:rsidR="001E12C7" w:rsidRPr="007F2B2F" w14:paraId="55AC8D95" w14:textId="77777777" w:rsidTr="006D0BEB">
        <w:tc>
          <w:tcPr>
            <w:tcW w:w="6300" w:type="dxa"/>
            <w:gridSpan w:val="3"/>
          </w:tcPr>
          <w:p w14:paraId="66C2AE7B" w14:textId="77777777" w:rsidR="001E12C7" w:rsidRPr="007F2B2F" w:rsidRDefault="001E12C7" w:rsidP="001E12C7">
            <w:pPr>
              <w:pStyle w:val="Circuit"/>
              <w:spacing w:line="240" w:lineRule="auto"/>
              <w:rPr>
                <w:sz w:val="23"/>
              </w:rPr>
            </w:pPr>
            <w:r w:rsidRPr="007F2B2F">
              <w:rPr>
                <w:b w:val="0"/>
                <w:smallCaps/>
                <w:sz w:val="23"/>
              </w:rPr>
              <w:t>________________</w:t>
            </w:r>
          </w:p>
        </w:tc>
      </w:tr>
      <w:tr w:rsidR="00747681" w:rsidRPr="004B5471" w14:paraId="0CEFF61D" w14:textId="77777777" w:rsidTr="006D0BEB">
        <w:trPr>
          <w:trHeight w:val="378"/>
        </w:trPr>
        <w:tc>
          <w:tcPr>
            <w:tcW w:w="6300" w:type="dxa"/>
            <w:gridSpan w:val="3"/>
          </w:tcPr>
          <w:p w14:paraId="57C0725B" w14:textId="7D7A4E91" w:rsidR="00747681" w:rsidRPr="004B5471" w:rsidRDefault="008F7B07" w:rsidP="005D758F">
            <w:pPr>
              <w:pStyle w:val="Parties"/>
              <w:spacing w:before="240" w:after="120"/>
              <w:rPr>
                <w:smallCaps w:val="0"/>
                <w:szCs w:val="24"/>
              </w:rPr>
            </w:pPr>
            <w:r>
              <w:rPr>
                <w:szCs w:val="24"/>
              </w:rPr>
              <w:t>Comptroller of the Treasury of Maryland</w:t>
            </w:r>
            <w:r w:rsidR="00747681" w:rsidRPr="004B5471">
              <w:rPr>
                <w:smallCaps w:val="0"/>
                <w:szCs w:val="24"/>
                <w:lang w:val="fr-FR"/>
              </w:rPr>
              <w:t>,</w:t>
            </w:r>
          </w:p>
        </w:tc>
      </w:tr>
      <w:tr w:rsidR="00747681" w:rsidRPr="00315AA8" w14:paraId="51189D43" w14:textId="77777777" w:rsidTr="006D0BEB">
        <w:tc>
          <w:tcPr>
            <w:tcW w:w="6300" w:type="dxa"/>
            <w:gridSpan w:val="3"/>
          </w:tcPr>
          <w:p w14:paraId="6CC15CF9" w14:textId="77777777" w:rsidR="00747681" w:rsidRPr="00315AA8" w:rsidRDefault="00747681" w:rsidP="005D758F">
            <w:pPr>
              <w:pStyle w:val="Parties"/>
              <w:ind w:left="4032"/>
              <w:jc w:val="left"/>
              <w:rPr>
                <w:rFonts w:cs="Arial"/>
                <w:smallCaps w:val="0"/>
              </w:rPr>
            </w:pPr>
            <w:r w:rsidRPr="007F2B2F">
              <w:rPr>
                <w:i/>
                <w:smallCaps w:val="0"/>
              </w:rPr>
              <w:t>Petitioner</w:t>
            </w:r>
            <w:r w:rsidRPr="00315AA8">
              <w:rPr>
                <w:rFonts w:cs="Arial"/>
                <w:smallCaps w:val="0"/>
              </w:rPr>
              <w:t>,</w:t>
            </w:r>
          </w:p>
        </w:tc>
      </w:tr>
      <w:tr w:rsidR="00747681" w:rsidRPr="00315AA8" w14:paraId="57612260" w14:textId="77777777" w:rsidTr="006D0BEB">
        <w:trPr>
          <w:trHeight w:val="297"/>
        </w:trPr>
        <w:tc>
          <w:tcPr>
            <w:tcW w:w="6300" w:type="dxa"/>
            <w:gridSpan w:val="3"/>
          </w:tcPr>
          <w:p w14:paraId="38560741" w14:textId="77777777" w:rsidR="00747681" w:rsidRPr="00315AA8" w:rsidRDefault="00747681" w:rsidP="005D758F">
            <w:pPr>
              <w:pStyle w:val="Parties"/>
              <w:rPr>
                <w:rFonts w:cs="Arial"/>
                <w:smallCaps w:val="0"/>
              </w:rPr>
            </w:pPr>
            <w:r w:rsidRPr="00315AA8">
              <w:rPr>
                <w:rFonts w:cs="Arial"/>
                <w:smallCaps w:val="0"/>
              </w:rPr>
              <w:t>v.</w:t>
            </w:r>
          </w:p>
        </w:tc>
      </w:tr>
      <w:tr w:rsidR="00747681" w:rsidRPr="004B5471" w14:paraId="31CDD410" w14:textId="77777777" w:rsidTr="006D0BEB">
        <w:trPr>
          <w:trHeight w:val="414"/>
        </w:trPr>
        <w:tc>
          <w:tcPr>
            <w:tcW w:w="6300" w:type="dxa"/>
            <w:gridSpan w:val="3"/>
          </w:tcPr>
          <w:p w14:paraId="4470ADF1" w14:textId="4A07E01B" w:rsidR="00747681" w:rsidRPr="004B5471" w:rsidRDefault="008F7B07" w:rsidP="005D758F">
            <w:pPr>
              <w:pStyle w:val="Parties"/>
              <w:spacing w:before="120" w:after="120"/>
              <w:rPr>
                <w:smallCaps w:val="0"/>
                <w:szCs w:val="24"/>
              </w:rPr>
            </w:pPr>
            <w:r>
              <w:rPr>
                <w:szCs w:val="24"/>
              </w:rPr>
              <w:t>Brian Wynne</w:t>
            </w:r>
            <w:r w:rsidR="00747681" w:rsidRPr="004B5471">
              <w:rPr>
                <w:szCs w:val="24"/>
              </w:rPr>
              <w:t>,</w:t>
            </w:r>
            <w:r>
              <w:rPr>
                <w:szCs w:val="24"/>
              </w:rPr>
              <w:t xml:space="preserve"> </w:t>
            </w:r>
            <w:r w:rsidRPr="008F7B07">
              <w:rPr>
                <w:i/>
                <w:smallCaps w:val="0"/>
                <w:szCs w:val="24"/>
              </w:rPr>
              <w:t>et ux.</w:t>
            </w:r>
          </w:p>
        </w:tc>
      </w:tr>
      <w:tr w:rsidR="00747681" w:rsidRPr="00315AA8" w14:paraId="6D5D4408" w14:textId="77777777" w:rsidTr="006D0BEB">
        <w:tc>
          <w:tcPr>
            <w:tcW w:w="6300" w:type="dxa"/>
            <w:gridSpan w:val="3"/>
          </w:tcPr>
          <w:p w14:paraId="404D37AA" w14:textId="5487BB63" w:rsidR="00747681" w:rsidRPr="00315AA8" w:rsidRDefault="00956A27" w:rsidP="005D758F">
            <w:pPr>
              <w:pStyle w:val="Parties"/>
              <w:ind w:left="4032"/>
              <w:jc w:val="left"/>
              <w:rPr>
                <w:smallCaps w:val="0"/>
              </w:rPr>
            </w:pPr>
            <w:r>
              <w:rPr>
                <w:i/>
                <w:smallCaps w:val="0"/>
              </w:rPr>
              <w:t>Respondent</w:t>
            </w:r>
            <w:r w:rsidR="004E39EC">
              <w:rPr>
                <w:i/>
                <w:smallCaps w:val="0"/>
              </w:rPr>
              <w:t>s</w:t>
            </w:r>
            <w:r w:rsidR="00747681" w:rsidRPr="00315AA8">
              <w:rPr>
                <w:smallCaps w:val="0"/>
              </w:rPr>
              <w:t>.</w:t>
            </w:r>
          </w:p>
        </w:tc>
      </w:tr>
      <w:tr w:rsidR="00747681" w:rsidRPr="004B5471" w14:paraId="017CFFE0" w14:textId="77777777" w:rsidTr="006D0BEB">
        <w:trPr>
          <w:trHeight w:val="1026"/>
        </w:trPr>
        <w:tc>
          <w:tcPr>
            <w:tcW w:w="6300" w:type="dxa"/>
            <w:gridSpan w:val="3"/>
          </w:tcPr>
          <w:p w14:paraId="2E07C77E" w14:textId="77777777" w:rsidR="00747681" w:rsidRPr="000B1412" w:rsidRDefault="00747681" w:rsidP="005D758F">
            <w:pPr>
              <w:pStyle w:val="Circuit"/>
              <w:spacing w:line="220" w:lineRule="exact"/>
              <w:rPr>
                <w:sz w:val="15"/>
              </w:rPr>
            </w:pPr>
            <w:bookmarkStart w:id="1" w:name="OLE_LINK1"/>
            <w:bookmarkStart w:id="2" w:name="OLE_LINK2"/>
            <w:r w:rsidRPr="007F2B2F">
              <w:rPr>
                <w:b w:val="0"/>
                <w:smallCaps/>
                <w:sz w:val="23"/>
              </w:rPr>
              <w:t>________________</w:t>
            </w:r>
            <w:bookmarkEnd w:id="1"/>
            <w:bookmarkEnd w:id="2"/>
          </w:p>
          <w:p w14:paraId="7B7CE57E" w14:textId="2A7F090E" w:rsidR="00747681" w:rsidRPr="004B5471" w:rsidRDefault="00747681" w:rsidP="008F7B07">
            <w:pPr>
              <w:pStyle w:val="Circuit"/>
              <w:spacing w:before="180" w:after="120" w:line="240" w:lineRule="auto"/>
              <w:rPr>
                <w:szCs w:val="24"/>
              </w:rPr>
            </w:pPr>
            <w:r>
              <w:rPr>
                <w:szCs w:val="24"/>
              </w:rPr>
              <w:t xml:space="preserve">On Petition for </w:t>
            </w:r>
            <w:r w:rsidRPr="004B5471">
              <w:rPr>
                <w:szCs w:val="24"/>
              </w:rPr>
              <w:t>Wr</w:t>
            </w:r>
            <w:r>
              <w:rPr>
                <w:szCs w:val="24"/>
              </w:rPr>
              <w:t>it of Certiorari to the</w:t>
            </w:r>
            <w:r>
              <w:rPr>
                <w:szCs w:val="24"/>
              </w:rPr>
              <w:br/>
            </w:r>
            <w:r w:rsidR="008F7B07">
              <w:rPr>
                <w:szCs w:val="24"/>
              </w:rPr>
              <w:t>Court of Appeals for Maryland</w:t>
            </w:r>
          </w:p>
        </w:tc>
      </w:tr>
      <w:tr w:rsidR="00747681" w:rsidRPr="007F2B2F" w14:paraId="0A6D8B0C" w14:textId="77777777" w:rsidTr="006D0BEB">
        <w:tc>
          <w:tcPr>
            <w:tcW w:w="6300" w:type="dxa"/>
            <w:gridSpan w:val="3"/>
          </w:tcPr>
          <w:p w14:paraId="3370D379" w14:textId="77777777" w:rsidR="00747681" w:rsidRPr="007F2B2F" w:rsidRDefault="00747681" w:rsidP="00741B77">
            <w:pPr>
              <w:pStyle w:val="Circuit"/>
              <w:spacing w:after="240" w:line="120" w:lineRule="exact"/>
              <w:rPr>
                <w:sz w:val="23"/>
              </w:rPr>
            </w:pPr>
            <w:r w:rsidRPr="007F2B2F">
              <w:rPr>
                <w:b w:val="0"/>
                <w:smallCaps/>
                <w:sz w:val="23"/>
              </w:rPr>
              <w:t>________________</w:t>
            </w:r>
          </w:p>
        </w:tc>
      </w:tr>
      <w:tr w:rsidR="00747681" w:rsidRPr="000B1412" w14:paraId="795DF785" w14:textId="77777777" w:rsidTr="006D0BEB">
        <w:trPr>
          <w:trHeight w:val="846"/>
        </w:trPr>
        <w:tc>
          <w:tcPr>
            <w:tcW w:w="6300" w:type="dxa"/>
            <w:gridSpan w:val="3"/>
          </w:tcPr>
          <w:p w14:paraId="277C1248" w14:textId="468BD9C0" w:rsidR="00747681" w:rsidRPr="00280064" w:rsidRDefault="00280064" w:rsidP="005D758F">
            <w:pPr>
              <w:pStyle w:val="BriefTitle"/>
              <w:spacing w:after="60"/>
            </w:pPr>
            <w:r>
              <w:t xml:space="preserve">BRIEF </w:t>
            </w:r>
            <w:r w:rsidR="008F7B07">
              <w:t>OF THE INTERNATIONAL MUNICIPAL LAWYERS ASSOCIATION</w:t>
            </w:r>
            <w:r w:rsidR="002E1B40">
              <w:t xml:space="preserve"> </w:t>
            </w:r>
            <w:r w:rsidR="008F7B07">
              <w:t xml:space="preserve">AND </w:t>
            </w:r>
            <w:r w:rsidR="009241FD">
              <w:t xml:space="preserve">OTHER </w:t>
            </w:r>
            <w:r w:rsidR="008F7B07">
              <w:t xml:space="preserve">STATE AND LOCAL </w:t>
            </w:r>
            <w:r w:rsidR="009241FD">
              <w:t xml:space="preserve">GOVERNMENT GROUPS </w:t>
            </w:r>
            <w:r w:rsidR="008F7B07">
              <w:t xml:space="preserve">AS </w:t>
            </w:r>
            <w:r w:rsidR="008F7B07">
              <w:rPr>
                <w:i/>
              </w:rPr>
              <w:t>AMICI</w:t>
            </w:r>
            <w:r>
              <w:rPr>
                <w:i/>
              </w:rPr>
              <w:t xml:space="preserve"> CURIAE</w:t>
            </w:r>
            <w:r>
              <w:t xml:space="preserve"> </w:t>
            </w:r>
            <w:r w:rsidR="008F7B07">
              <w:t>IN SUPPORT OF PETITIONER</w:t>
            </w:r>
          </w:p>
          <w:p w14:paraId="5DD617DA" w14:textId="77777777" w:rsidR="00747681" w:rsidRPr="00F02732" w:rsidRDefault="00747681" w:rsidP="00D10449">
            <w:pPr>
              <w:spacing w:after="240" w:line="220" w:lineRule="exact"/>
              <w:jc w:val="center"/>
              <w:rPr>
                <w:sz w:val="22"/>
                <w:szCs w:val="22"/>
              </w:rPr>
            </w:pPr>
            <w:r w:rsidRPr="00F02732">
              <w:rPr>
                <w:sz w:val="23"/>
              </w:rPr>
              <w:t>________________</w:t>
            </w:r>
          </w:p>
        </w:tc>
      </w:tr>
      <w:tr w:rsidR="00747681" w:rsidRPr="00F02732" w14:paraId="3D16643F" w14:textId="77777777" w:rsidTr="006D0BEB">
        <w:trPr>
          <w:trHeight w:val="2439"/>
        </w:trPr>
        <w:tc>
          <w:tcPr>
            <w:tcW w:w="3150" w:type="dxa"/>
            <w:tcBorders>
              <w:top w:val="nil"/>
              <w:left w:val="nil"/>
              <w:bottom w:val="nil"/>
              <w:right w:val="nil"/>
            </w:tcBorders>
            <w:tcMar>
              <w:left w:w="43" w:type="dxa"/>
              <w:right w:w="43" w:type="dxa"/>
            </w:tcMar>
          </w:tcPr>
          <w:p w14:paraId="4DE335BF" w14:textId="7DAE556A" w:rsidR="00981D34" w:rsidRPr="00F02732" w:rsidRDefault="00697289" w:rsidP="00697289">
            <w:pPr>
              <w:rPr>
                <w:smallCaps/>
                <w:sz w:val="23"/>
                <w:szCs w:val="23"/>
              </w:rPr>
            </w:pPr>
            <w:r>
              <w:rPr>
                <w:smallCaps/>
                <w:sz w:val="23"/>
                <w:szCs w:val="23"/>
              </w:rPr>
              <w:t>John Neiman</w:t>
            </w:r>
            <w:r>
              <w:rPr>
                <w:smallCaps/>
                <w:sz w:val="23"/>
                <w:szCs w:val="23"/>
              </w:rPr>
              <w:br/>
            </w:r>
            <w:r w:rsidRPr="00697289">
              <w:rPr>
                <w:caps/>
                <w:sz w:val="23"/>
                <w:szCs w:val="23"/>
              </w:rPr>
              <w:t>Maynard Cooper &amp; Gale PC</w:t>
            </w:r>
            <w:r>
              <w:rPr>
                <w:smallCaps/>
                <w:sz w:val="23"/>
                <w:szCs w:val="23"/>
              </w:rPr>
              <w:br/>
            </w:r>
            <w:r>
              <w:rPr>
                <w:sz w:val="23"/>
                <w:szCs w:val="23"/>
              </w:rPr>
              <w:t>1901 Sixth Ave. North</w:t>
            </w:r>
            <w:r>
              <w:rPr>
                <w:sz w:val="23"/>
                <w:szCs w:val="23"/>
              </w:rPr>
              <w:br/>
            </w:r>
            <w:r w:rsidRPr="00697289">
              <w:rPr>
                <w:sz w:val="23"/>
                <w:szCs w:val="23"/>
              </w:rPr>
              <w:t xml:space="preserve">2400 Regions </w:t>
            </w:r>
            <w:proofErr w:type="spellStart"/>
            <w:r w:rsidRPr="00697289">
              <w:rPr>
                <w:sz w:val="23"/>
                <w:szCs w:val="23"/>
              </w:rPr>
              <w:t>Harbert</w:t>
            </w:r>
            <w:proofErr w:type="spellEnd"/>
            <w:r w:rsidRPr="00697289">
              <w:rPr>
                <w:sz w:val="23"/>
                <w:szCs w:val="23"/>
              </w:rPr>
              <w:t xml:space="preserve"> P</w:t>
            </w:r>
            <w:r>
              <w:rPr>
                <w:sz w:val="23"/>
                <w:szCs w:val="23"/>
              </w:rPr>
              <w:t>laza</w:t>
            </w:r>
            <w:r>
              <w:rPr>
                <w:sz w:val="23"/>
                <w:szCs w:val="23"/>
              </w:rPr>
              <w:br/>
            </w:r>
            <w:r w:rsidRPr="00697289">
              <w:rPr>
                <w:sz w:val="23"/>
                <w:szCs w:val="23"/>
              </w:rPr>
              <w:t>Birmingham, AL 35203</w:t>
            </w:r>
          </w:p>
        </w:tc>
        <w:tc>
          <w:tcPr>
            <w:tcW w:w="3150" w:type="dxa"/>
            <w:gridSpan w:val="2"/>
            <w:tcBorders>
              <w:top w:val="nil"/>
              <w:left w:val="nil"/>
              <w:bottom w:val="nil"/>
              <w:right w:val="nil"/>
            </w:tcBorders>
            <w:tcMar>
              <w:left w:w="43" w:type="dxa"/>
              <w:right w:w="43" w:type="dxa"/>
            </w:tcMar>
          </w:tcPr>
          <w:p w14:paraId="2091D008" w14:textId="77777777" w:rsidR="00747681" w:rsidRPr="00F02732" w:rsidRDefault="00747681" w:rsidP="001E12C7">
            <w:pPr>
              <w:pStyle w:val="CounselofRecord"/>
              <w:keepNext/>
              <w:rPr>
                <w:iCs/>
                <w:sz w:val="23"/>
                <w:szCs w:val="23"/>
              </w:rPr>
            </w:pPr>
            <w:r w:rsidRPr="00F02732">
              <w:rPr>
                <w:iCs/>
                <w:sz w:val="23"/>
                <w:szCs w:val="23"/>
              </w:rPr>
              <w:t>Paul D. Clement</w:t>
            </w:r>
          </w:p>
          <w:p w14:paraId="14E68F1C" w14:textId="77777777" w:rsidR="00747681" w:rsidRPr="00F02732" w:rsidRDefault="00804A0D" w:rsidP="005D758F">
            <w:pPr>
              <w:pStyle w:val="CounselofRecord"/>
              <w:keepNext/>
              <w:rPr>
                <w:i/>
                <w:iCs/>
                <w:smallCaps w:val="0"/>
                <w:sz w:val="23"/>
                <w:szCs w:val="23"/>
              </w:rPr>
            </w:pPr>
            <w:r>
              <w:rPr>
                <w:iCs/>
                <w:smallCaps w:val="0"/>
                <w:sz w:val="23"/>
                <w:szCs w:val="23"/>
              </w:rPr>
              <w:t xml:space="preserve"> </w:t>
            </w:r>
            <w:r w:rsidR="00747681" w:rsidRPr="00F02732">
              <w:rPr>
                <w:i/>
                <w:iCs/>
                <w:smallCaps w:val="0"/>
                <w:sz w:val="23"/>
                <w:szCs w:val="23"/>
              </w:rPr>
              <w:t>Counsel of Record</w:t>
            </w:r>
          </w:p>
          <w:p w14:paraId="6C0CF498" w14:textId="01CA984F" w:rsidR="00747681" w:rsidRPr="00F02732" w:rsidRDefault="00DE22F7" w:rsidP="005D758F">
            <w:pPr>
              <w:pStyle w:val="CounselofRecord"/>
              <w:keepNext/>
              <w:rPr>
                <w:iCs/>
                <w:sz w:val="23"/>
                <w:szCs w:val="23"/>
              </w:rPr>
            </w:pPr>
            <w:r>
              <w:rPr>
                <w:iCs/>
                <w:sz w:val="23"/>
                <w:szCs w:val="23"/>
              </w:rPr>
              <w:t>Zachary D. Tripp</w:t>
            </w:r>
          </w:p>
          <w:p w14:paraId="481059BD" w14:textId="77777777" w:rsidR="00747681" w:rsidRPr="00F02732" w:rsidRDefault="00747681" w:rsidP="005D758F">
            <w:pPr>
              <w:pStyle w:val="CounselofRecord"/>
              <w:keepNext/>
              <w:rPr>
                <w:caps/>
                <w:smallCaps w:val="0"/>
                <w:sz w:val="23"/>
                <w:szCs w:val="23"/>
              </w:rPr>
            </w:pPr>
            <w:r w:rsidRPr="00F02732">
              <w:rPr>
                <w:caps/>
                <w:smallCaps w:val="0"/>
                <w:sz w:val="23"/>
                <w:szCs w:val="23"/>
              </w:rPr>
              <w:t>Bancroft PLLC</w:t>
            </w:r>
          </w:p>
          <w:p w14:paraId="364F7E81" w14:textId="77777777" w:rsidR="00747681" w:rsidRPr="00F02732" w:rsidRDefault="00747681" w:rsidP="005D758F">
            <w:pPr>
              <w:pStyle w:val="CounselofRecord"/>
              <w:keepNext/>
              <w:rPr>
                <w:smallCaps w:val="0"/>
                <w:sz w:val="23"/>
                <w:szCs w:val="23"/>
              </w:rPr>
            </w:pPr>
            <w:r w:rsidRPr="00F02732">
              <w:rPr>
                <w:smallCaps w:val="0"/>
                <w:sz w:val="23"/>
                <w:szCs w:val="23"/>
              </w:rPr>
              <w:t>1919 M Street NW</w:t>
            </w:r>
          </w:p>
          <w:p w14:paraId="22B4E259" w14:textId="77777777" w:rsidR="00747681" w:rsidRPr="00F02732" w:rsidRDefault="00747681" w:rsidP="005D758F">
            <w:pPr>
              <w:pStyle w:val="CounselofRecord"/>
              <w:keepNext/>
              <w:rPr>
                <w:smallCaps w:val="0"/>
                <w:sz w:val="23"/>
                <w:szCs w:val="23"/>
              </w:rPr>
            </w:pPr>
            <w:r w:rsidRPr="00F02732">
              <w:rPr>
                <w:smallCaps w:val="0"/>
                <w:sz w:val="23"/>
                <w:szCs w:val="23"/>
              </w:rPr>
              <w:t xml:space="preserve">Suite 470 </w:t>
            </w:r>
          </w:p>
          <w:p w14:paraId="105C2EC0" w14:textId="77777777" w:rsidR="002343AE" w:rsidRPr="00F02732" w:rsidRDefault="00747681" w:rsidP="005D758F">
            <w:pPr>
              <w:pStyle w:val="CounselofRecord"/>
              <w:keepNext/>
              <w:rPr>
                <w:smallCaps w:val="0"/>
                <w:sz w:val="23"/>
                <w:szCs w:val="23"/>
              </w:rPr>
            </w:pPr>
            <w:r w:rsidRPr="00F02732">
              <w:rPr>
                <w:smallCaps w:val="0"/>
                <w:sz w:val="23"/>
                <w:szCs w:val="23"/>
              </w:rPr>
              <w:t xml:space="preserve">Washington, DC </w:t>
            </w:r>
            <w:r w:rsidR="002343AE" w:rsidRPr="00F02732">
              <w:rPr>
                <w:smallCaps w:val="0"/>
                <w:sz w:val="23"/>
                <w:szCs w:val="23"/>
              </w:rPr>
              <w:t>20036</w:t>
            </w:r>
          </w:p>
          <w:p w14:paraId="3B7A3AFD" w14:textId="77777777" w:rsidR="00747681" w:rsidRPr="00F02732" w:rsidRDefault="00747681" w:rsidP="005D758F">
            <w:pPr>
              <w:pStyle w:val="CounselofRecord"/>
              <w:keepNext/>
              <w:rPr>
                <w:smallCaps w:val="0"/>
                <w:sz w:val="23"/>
                <w:szCs w:val="23"/>
              </w:rPr>
            </w:pPr>
            <w:r w:rsidRPr="00F02732">
              <w:rPr>
                <w:smallCaps w:val="0"/>
                <w:sz w:val="23"/>
                <w:szCs w:val="23"/>
              </w:rPr>
              <w:t>(202) 234-0090</w:t>
            </w:r>
          </w:p>
          <w:p w14:paraId="5B35E170" w14:textId="77777777" w:rsidR="00747681" w:rsidRPr="00F02732" w:rsidRDefault="00747681" w:rsidP="005D758F">
            <w:pPr>
              <w:pStyle w:val="CounselofRecord"/>
              <w:keepNext/>
              <w:rPr>
                <w:iCs/>
                <w:smallCaps w:val="0"/>
                <w:sz w:val="23"/>
                <w:szCs w:val="23"/>
              </w:rPr>
            </w:pPr>
            <w:r w:rsidRPr="00F02732">
              <w:rPr>
                <w:smallCaps w:val="0"/>
                <w:sz w:val="23"/>
                <w:szCs w:val="23"/>
              </w:rPr>
              <w:t>pclement@bancroftpllc.com</w:t>
            </w:r>
          </w:p>
        </w:tc>
      </w:tr>
      <w:tr w:rsidR="00747681" w:rsidRPr="007F2B2F" w14:paraId="5CF947FB" w14:textId="77777777" w:rsidTr="006D0BEB">
        <w:tc>
          <w:tcPr>
            <w:tcW w:w="6300" w:type="dxa"/>
            <w:gridSpan w:val="3"/>
            <w:tcBorders>
              <w:top w:val="nil"/>
              <w:left w:val="nil"/>
              <w:bottom w:val="nil"/>
              <w:right w:val="nil"/>
            </w:tcBorders>
            <w:vAlign w:val="center"/>
          </w:tcPr>
          <w:p w14:paraId="1F10A792" w14:textId="4A550347" w:rsidR="00747681" w:rsidRPr="007F2B2F" w:rsidRDefault="00747681" w:rsidP="00280064">
            <w:pPr>
              <w:pStyle w:val="AdditionalCounselNotice"/>
              <w:keepNext/>
              <w:spacing w:line="240" w:lineRule="exact"/>
              <w:jc w:val="center"/>
              <w:rPr>
                <w:iCs/>
                <w:szCs w:val="23"/>
              </w:rPr>
            </w:pPr>
            <w:r w:rsidRPr="007F2B2F">
              <w:rPr>
                <w:szCs w:val="23"/>
              </w:rPr>
              <w:t xml:space="preserve">Counsel for </w:t>
            </w:r>
            <w:r w:rsidR="00DE22F7">
              <w:rPr>
                <w:szCs w:val="23"/>
              </w:rPr>
              <w:t>Amici</w:t>
            </w:r>
            <w:r w:rsidR="00280064">
              <w:rPr>
                <w:szCs w:val="23"/>
              </w:rPr>
              <w:t xml:space="preserve"> Curiae</w:t>
            </w:r>
          </w:p>
        </w:tc>
      </w:tr>
      <w:tr w:rsidR="00747681" w:rsidRPr="007F2B2F" w14:paraId="5F260017" w14:textId="77777777" w:rsidTr="006D0BEB">
        <w:tc>
          <w:tcPr>
            <w:tcW w:w="3600" w:type="dxa"/>
            <w:gridSpan w:val="2"/>
            <w:tcBorders>
              <w:top w:val="nil"/>
              <w:bottom w:val="thickThinSmallGap" w:sz="24" w:space="0" w:color="auto"/>
            </w:tcBorders>
          </w:tcPr>
          <w:p w14:paraId="624B4E02" w14:textId="798F4C59" w:rsidR="00747681" w:rsidRPr="007F2B2F" w:rsidRDefault="00DE22F7" w:rsidP="005D758F">
            <w:pPr>
              <w:pStyle w:val="Date"/>
              <w:keepNext/>
              <w:keepLines/>
              <w:spacing w:before="120" w:after="120" w:line="240" w:lineRule="exact"/>
              <w:rPr>
                <w:sz w:val="23"/>
                <w:szCs w:val="23"/>
              </w:rPr>
            </w:pPr>
            <w:r>
              <w:rPr>
                <w:sz w:val="23"/>
                <w:szCs w:val="23"/>
              </w:rPr>
              <w:t>August 5</w:t>
            </w:r>
            <w:r w:rsidR="001E12C7">
              <w:rPr>
                <w:sz w:val="23"/>
                <w:szCs w:val="23"/>
              </w:rPr>
              <w:t>, 2014</w:t>
            </w:r>
          </w:p>
        </w:tc>
        <w:tc>
          <w:tcPr>
            <w:tcW w:w="2700" w:type="dxa"/>
            <w:tcBorders>
              <w:top w:val="nil"/>
              <w:bottom w:val="thickThinSmallGap" w:sz="24" w:space="0" w:color="auto"/>
            </w:tcBorders>
          </w:tcPr>
          <w:p w14:paraId="7DFC9D28" w14:textId="77777777" w:rsidR="00747681" w:rsidRPr="007F2B2F" w:rsidRDefault="00747681" w:rsidP="005D758F">
            <w:pPr>
              <w:pStyle w:val="AdditionalCounselNotice"/>
              <w:spacing w:before="0" w:line="240" w:lineRule="exact"/>
              <w:rPr>
                <w:i w:val="0"/>
                <w:iCs/>
                <w:szCs w:val="23"/>
              </w:rPr>
            </w:pPr>
          </w:p>
        </w:tc>
      </w:tr>
    </w:tbl>
    <w:p w14:paraId="4FDE563C" w14:textId="77777777" w:rsidR="00747681" w:rsidRDefault="00747681" w:rsidP="00747681">
      <w:pPr>
        <w:spacing w:after="120"/>
        <w:jc w:val="both"/>
        <w:rPr>
          <w:szCs w:val="24"/>
        </w:rPr>
        <w:sectPr w:rsidR="00747681" w:rsidSect="006235ED">
          <w:headerReference w:type="default" r:id="rId9"/>
          <w:pgSz w:w="12240" w:h="15840" w:code="1"/>
          <w:pgMar w:top="2736" w:right="3168" w:bottom="2736" w:left="3168" w:header="2218" w:footer="1440" w:gutter="0"/>
          <w:cols w:space="720"/>
          <w:docGrid w:linePitch="360"/>
        </w:sectPr>
      </w:pPr>
    </w:p>
    <w:p w14:paraId="520246D3" w14:textId="77777777" w:rsidR="00747681" w:rsidRPr="00747681" w:rsidRDefault="00C47CCD" w:rsidP="00C73C8E">
      <w:pPr>
        <w:pStyle w:val="Heading1noTOC"/>
      </w:pPr>
      <w:r>
        <w:lastRenderedPageBreak/>
        <w:t>Table of Contents</w:t>
      </w:r>
    </w:p>
    <w:p w14:paraId="143ADE60" w14:textId="77777777" w:rsidR="00D10176" w:rsidRDefault="00935E95">
      <w:pPr>
        <w:pStyle w:val="TOC1"/>
        <w:rPr>
          <w:rFonts w:asciiTheme="minorHAnsi" w:eastAsiaTheme="minorEastAsia" w:hAnsiTheme="minorHAnsi" w:cstheme="minorBidi"/>
          <w:noProof/>
          <w:kern w:val="0"/>
          <w:sz w:val="22"/>
          <w:szCs w:val="22"/>
        </w:rPr>
      </w:pPr>
      <w:r>
        <w:fldChar w:fldCharType="begin"/>
      </w:r>
      <w:r>
        <w:instrText xml:space="preserve"> TOC \o "1-3" \u </w:instrText>
      </w:r>
      <w:r>
        <w:fldChar w:fldCharType="separate"/>
      </w:r>
      <w:r w:rsidR="00D10176">
        <w:rPr>
          <w:noProof/>
        </w:rPr>
        <w:t>TABLE OF AUTHORITIES</w:t>
      </w:r>
      <w:r w:rsidR="00D10176">
        <w:rPr>
          <w:noProof/>
        </w:rPr>
        <w:tab/>
      </w:r>
      <w:r w:rsidR="00D10176">
        <w:rPr>
          <w:noProof/>
        </w:rPr>
        <w:fldChar w:fldCharType="begin"/>
      </w:r>
      <w:r w:rsidR="00D10176">
        <w:rPr>
          <w:noProof/>
        </w:rPr>
        <w:instrText xml:space="preserve"> PAGEREF _Toc393794309 \h </w:instrText>
      </w:r>
      <w:r w:rsidR="00D10176">
        <w:rPr>
          <w:noProof/>
        </w:rPr>
      </w:r>
      <w:r w:rsidR="00D10176">
        <w:rPr>
          <w:noProof/>
        </w:rPr>
        <w:fldChar w:fldCharType="separate"/>
      </w:r>
      <w:r w:rsidR="00D10176">
        <w:rPr>
          <w:noProof/>
        </w:rPr>
        <w:t>ii</w:t>
      </w:r>
      <w:r w:rsidR="00D10176">
        <w:rPr>
          <w:noProof/>
        </w:rPr>
        <w:fldChar w:fldCharType="end"/>
      </w:r>
    </w:p>
    <w:p w14:paraId="3171BE00" w14:textId="77777777" w:rsidR="00D10176" w:rsidRDefault="00D10176">
      <w:pPr>
        <w:pStyle w:val="TOC1"/>
        <w:rPr>
          <w:rFonts w:asciiTheme="minorHAnsi" w:eastAsiaTheme="minorEastAsia" w:hAnsiTheme="minorHAnsi" w:cstheme="minorBidi"/>
          <w:noProof/>
          <w:kern w:val="0"/>
          <w:sz w:val="22"/>
          <w:szCs w:val="22"/>
        </w:rPr>
      </w:pPr>
      <w:r w:rsidRPr="00C56687">
        <w:rPr>
          <w:noProof/>
        </w:rPr>
        <w:t>STATEMENT OF INTEREST</w:t>
      </w:r>
      <w:r>
        <w:rPr>
          <w:noProof/>
        </w:rPr>
        <w:tab/>
      </w:r>
      <w:r>
        <w:rPr>
          <w:noProof/>
        </w:rPr>
        <w:fldChar w:fldCharType="begin"/>
      </w:r>
      <w:r>
        <w:rPr>
          <w:noProof/>
        </w:rPr>
        <w:instrText xml:space="preserve"> PAGEREF _Toc393794310 \h </w:instrText>
      </w:r>
      <w:r>
        <w:rPr>
          <w:noProof/>
        </w:rPr>
      </w:r>
      <w:r>
        <w:rPr>
          <w:noProof/>
        </w:rPr>
        <w:fldChar w:fldCharType="separate"/>
      </w:r>
      <w:r>
        <w:rPr>
          <w:noProof/>
        </w:rPr>
        <w:t>1</w:t>
      </w:r>
      <w:r>
        <w:rPr>
          <w:noProof/>
        </w:rPr>
        <w:fldChar w:fldCharType="end"/>
      </w:r>
    </w:p>
    <w:p w14:paraId="7392D785" w14:textId="77777777" w:rsidR="00D10176" w:rsidRDefault="00D10176">
      <w:pPr>
        <w:pStyle w:val="TOC1"/>
        <w:rPr>
          <w:rFonts w:asciiTheme="minorHAnsi" w:eastAsiaTheme="minorEastAsia" w:hAnsiTheme="minorHAnsi" w:cstheme="minorBidi"/>
          <w:noProof/>
          <w:kern w:val="0"/>
          <w:sz w:val="22"/>
          <w:szCs w:val="22"/>
        </w:rPr>
      </w:pPr>
      <w:r w:rsidRPr="00C56687">
        <w:rPr>
          <w:noProof/>
        </w:rPr>
        <w:t>SUMMARY OF ARGUMENT</w:t>
      </w:r>
      <w:r>
        <w:rPr>
          <w:noProof/>
        </w:rPr>
        <w:tab/>
      </w:r>
      <w:r>
        <w:rPr>
          <w:noProof/>
        </w:rPr>
        <w:fldChar w:fldCharType="begin"/>
      </w:r>
      <w:r>
        <w:rPr>
          <w:noProof/>
        </w:rPr>
        <w:instrText xml:space="preserve"> PAGEREF _Toc393794311 \h </w:instrText>
      </w:r>
      <w:r>
        <w:rPr>
          <w:noProof/>
        </w:rPr>
      </w:r>
      <w:r>
        <w:rPr>
          <w:noProof/>
        </w:rPr>
        <w:fldChar w:fldCharType="separate"/>
      </w:r>
      <w:r>
        <w:rPr>
          <w:noProof/>
        </w:rPr>
        <w:t>4</w:t>
      </w:r>
      <w:r>
        <w:rPr>
          <w:noProof/>
        </w:rPr>
        <w:fldChar w:fldCharType="end"/>
      </w:r>
    </w:p>
    <w:p w14:paraId="6362FB21" w14:textId="77777777" w:rsidR="00D10176" w:rsidRDefault="00D10176">
      <w:pPr>
        <w:pStyle w:val="TOC1"/>
        <w:rPr>
          <w:rFonts w:asciiTheme="minorHAnsi" w:eastAsiaTheme="minorEastAsia" w:hAnsiTheme="minorHAnsi" w:cstheme="minorBidi"/>
          <w:noProof/>
          <w:kern w:val="0"/>
          <w:sz w:val="22"/>
          <w:szCs w:val="22"/>
        </w:rPr>
      </w:pPr>
      <w:r>
        <w:rPr>
          <w:noProof/>
        </w:rPr>
        <w:t>ARGUMENT</w:t>
      </w:r>
      <w:r>
        <w:rPr>
          <w:noProof/>
        </w:rPr>
        <w:tab/>
      </w:r>
      <w:r>
        <w:rPr>
          <w:noProof/>
        </w:rPr>
        <w:fldChar w:fldCharType="begin"/>
      </w:r>
      <w:r>
        <w:rPr>
          <w:noProof/>
        </w:rPr>
        <w:instrText xml:space="preserve"> PAGEREF _Toc393794312 \h </w:instrText>
      </w:r>
      <w:r>
        <w:rPr>
          <w:noProof/>
        </w:rPr>
      </w:r>
      <w:r>
        <w:rPr>
          <w:noProof/>
        </w:rPr>
        <w:fldChar w:fldCharType="separate"/>
      </w:r>
      <w:r>
        <w:rPr>
          <w:noProof/>
        </w:rPr>
        <w:t>7</w:t>
      </w:r>
      <w:r>
        <w:rPr>
          <w:noProof/>
        </w:rPr>
        <w:fldChar w:fldCharType="end"/>
      </w:r>
    </w:p>
    <w:p w14:paraId="67491DE4" w14:textId="77777777" w:rsidR="00D10176" w:rsidRDefault="00D10176">
      <w:pPr>
        <w:pStyle w:val="TOC2"/>
        <w:rPr>
          <w:rFonts w:asciiTheme="minorHAnsi" w:eastAsiaTheme="minorEastAsia" w:hAnsiTheme="minorHAnsi" w:cstheme="minorBidi"/>
          <w:noProof/>
          <w:kern w:val="0"/>
          <w:sz w:val="22"/>
          <w:szCs w:val="22"/>
        </w:rPr>
      </w:pPr>
      <w:r w:rsidRPr="00C56687">
        <w:rPr>
          <w:noProof/>
          <w:color w:val="000000"/>
        </w:rPr>
        <w:t>I.</w:t>
      </w:r>
      <w:r>
        <w:rPr>
          <w:rFonts w:asciiTheme="minorHAnsi" w:eastAsiaTheme="minorEastAsia" w:hAnsiTheme="minorHAnsi" w:cstheme="minorBidi"/>
          <w:noProof/>
          <w:kern w:val="0"/>
          <w:sz w:val="22"/>
          <w:szCs w:val="22"/>
        </w:rPr>
        <w:tab/>
      </w:r>
      <w:r w:rsidRPr="00C56687">
        <w:rPr>
          <w:noProof/>
        </w:rPr>
        <w:t xml:space="preserve">Neither the Constitution Nor Considerations Of Sound Tax Policy Demand </w:t>
      </w:r>
      <w:r>
        <w:rPr>
          <w:noProof/>
        </w:rPr>
        <w:t xml:space="preserve">A </w:t>
      </w:r>
      <w:r w:rsidRPr="00C56687">
        <w:rPr>
          <w:noProof/>
        </w:rPr>
        <w:t xml:space="preserve">Full </w:t>
      </w:r>
      <w:r>
        <w:rPr>
          <w:noProof/>
        </w:rPr>
        <w:t xml:space="preserve">Dollar-For-Dollar Credit For </w:t>
      </w:r>
      <w:r w:rsidRPr="00C56687">
        <w:rPr>
          <w:noProof/>
        </w:rPr>
        <w:t xml:space="preserve">Foreign </w:t>
      </w:r>
      <w:r>
        <w:rPr>
          <w:noProof/>
        </w:rPr>
        <w:t>Income Taxes</w:t>
      </w:r>
      <w:r w:rsidRPr="00C56687">
        <w:rPr>
          <w:noProof/>
        </w:rPr>
        <w:t xml:space="preserve"> Paid</w:t>
      </w:r>
      <w:r>
        <w:rPr>
          <w:noProof/>
        </w:rPr>
        <w:t>.</w:t>
      </w:r>
      <w:r>
        <w:rPr>
          <w:noProof/>
        </w:rPr>
        <w:tab/>
      </w:r>
      <w:r>
        <w:rPr>
          <w:noProof/>
        </w:rPr>
        <w:fldChar w:fldCharType="begin"/>
      </w:r>
      <w:r>
        <w:rPr>
          <w:noProof/>
        </w:rPr>
        <w:instrText xml:space="preserve"> PAGEREF _Toc393794313 \h </w:instrText>
      </w:r>
      <w:r>
        <w:rPr>
          <w:noProof/>
        </w:rPr>
      </w:r>
      <w:r>
        <w:rPr>
          <w:noProof/>
        </w:rPr>
        <w:fldChar w:fldCharType="separate"/>
      </w:r>
      <w:r>
        <w:rPr>
          <w:noProof/>
        </w:rPr>
        <w:t>7</w:t>
      </w:r>
      <w:r>
        <w:rPr>
          <w:noProof/>
        </w:rPr>
        <w:fldChar w:fldCharType="end"/>
      </w:r>
    </w:p>
    <w:p w14:paraId="7B0CAC29" w14:textId="77777777" w:rsidR="00D10176" w:rsidRDefault="00D10176">
      <w:pPr>
        <w:pStyle w:val="TOC3"/>
        <w:rPr>
          <w:rFonts w:asciiTheme="minorHAnsi" w:eastAsiaTheme="minorEastAsia" w:hAnsiTheme="minorHAnsi" w:cstheme="minorBidi"/>
          <w:noProof/>
          <w:kern w:val="0"/>
          <w:sz w:val="22"/>
          <w:szCs w:val="22"/>
        </w:rPr>
      </w:pPr>
      <w:r w:rsidRPr="00C56687">
        <w:rPr>
          <w:noProof/>
          <w:color w:val="000000"/>
        </w:rPr>
        <w:t>A.</w:t>
      </w:r>
      <w:r>
        <w:rPr>
          <w:rFonts w:asciiTheme="minorHAnsi" w:eastAsiaTheme="minorEastAsia" w:hAnsiTheme="minorHAnsi" w:cstheme="minorBidi"/>
          <w:noProof/>
          <w:kern w:val="0"/>
          <w:sz w:val="22"/>
          <w:szCs w:val="22"/>
        </w:rPr>
        <w:tab/>
      </w:r>
      <w:r>
        <w:rPr>
          <w:noProof/>
        </w:rPr>
        <w:t>State and Local Governments Provide Residents With Extensive and Unique Benefits.</w:t>
      </w:r>
      <w:r>
        <w:rPr>
          <w:noProof/>
        </w:rPr>
        <w:tab/>
      </w:r>
      <w:r>
        <w:rPr>
          <w:noProof/>
        </w:rPr>
        <w:fldChar w:fldCharType="begin"/>
      </w:r>
      <w:r>
        <w:rPr>
          <w:noProof/>
        </w:rPr>
        <w:instrText xml:space="preserve"> PAGEREF _Toc393794314 \h </w:instrText>
      </w:r>
      <w:r>
        <w:rPr>
          <w:noProof/>
        </w:rPr>
      </w:r>
      <w:r>
        <w:rPr>
          <w:noProof/>
        </w:rPr>
        <w:fldChar w:fldCharType="separate"/>
      </w:r>
      <w:r>
        <w:rPr>
          <w:noProof/>
        </w:rPr>
        <w:t>7</w:t>
      </w:r>
      <w:r>
        <w:rPr>
          <w:noProof/>
        </w:rPr>
        <w:fldChar w:fldCharType="end"/>
      </w:r>
    </w:p>
    <w:p w14:paraId="30359629" w14:textId="77777777" w:rsidR="00D10176" w:rsidRDefault="00D10176">
      <w:pPr>
        <w:pStyle w:val="TOC3"/>
        <w:rPr>
          <w:rFonts w:asciiTheme="minorHAnsi" w:eastAsiaTheme="minorEastAsia" w:hAnsiTheme="minorHAnsi" w:cstheme="minorBidi"/>
          <w:noProof/>
          <w:kern w:val="0"/>
          <w:sz w:val="22"/>
          <w:szCs w:val="22"/>
        </w:rPr>
      </w:pPr>
      <w:r w:rsidRPr="00C56687">
        <w:rPr>
          <w:noProof/>
          <w:color w:val="000000"/>
        </w:rPr>
        <w:t>B.</w:t>
      </w:r>
      <w:r>
        <w:rPr>
          <w:rFonts w:asciiTheme="minorHAnsi" w:eastAsiaTheme="minorEastAsia" w:hAnsiTheme="minorHAnsi" w:cstheme="minorBidi"/>
          <w:noProof/>
          <w:kern w:val="0"/>
          <w:sz w:val="22"/>
          <w:szCs w:val="22"/>
        </w:rPr>
        <w:tab/>
      </w:r>
      <w:r>
        <w:rPr>
          <w:noProof/>
        </w:rPr>
        <w:t xml:space="preserve">Any Approach To Foreign </w:t>
      </w:r>
      <w:r w:rsidRPr="00C56687">
        <w:rPr>
          <w:noProof/>
        </w:rPr>
        <w:t xml:space="preserve">Income </w:t>
      </w:r>
      <w:r>
        <w:rPr>
          <w:noProof/>
        </w:rPr>
        <w:t>Tax</w:t>
      </w:r>
      <w:r w:rsidRPr="00C56687">
        <w:rPr>
          <w:noProof/>
        </w:rPr>
        <w:t>es</w:t>
      </w:r>
      <w:r>
        <w:rPr>
          <w:noProof/>
        </w:rPr>
        <w:t xml:space="preserve"> Has </w:t>
      </w:r>
      <w:r w:rsidRPr="00C56687">
        <w:rPr>
          <w:noProof/>
        </w:rPr>
        <w:t xml:space="preserve">Policy </w:t>
      </w:r>
      <w:r>
        <w:rPr>
          <w:noProof/>
        </w:rPr>
        <w:t>Advantages And Disadvantages</w:t>
      </w:r>
      <w:r>
        <w:rPr>
          <w:noProof/>
        </w:rPr>
        <w:tab/>
      </w:r>
      <w:r>
        <w:rPr>
          <w:noProof/>
        </w:rPr>
        <w:fldChar w:fldCharType="begin"/>
      </w:r>
      <w:r>
        <w:rPr>
          <w:noProof/>
        </w:rPr>
        <w:instrText xml:space="preserve"> PAGEREF _Toc393794315 \h </w:instrText>
      </w:r>
      <w:r>
        <w:rPr>
          <w:noProof/>
        </w:rPr>
      </w:r>
      <w:r>
        <w:rPr>
          <w:noProof/>
        </w:rPr>
        <w:fldChar w:fldCharType="separate"/>
      </w:r>
      <w:r>
        <w:rPr>
          <w:noProof/>
        </w:rPr>
        <w:t>11</w:t>
      </w:r>
      <w:r>
        <w:rPr>
          <w:noProof/>
        </w:rPr>
        <w:fldChar w:fldCharType="end"/>
      </w:r>
    </w:p>
    <w:p w14:paraId="12CE60B7" w14:textId="77777777" w:rsidR="00D10176" w:rsidRDefault="00D10176">
      <w:pPr>
        <w:pStyle w:val="TOC3"/>
        <w:rPr>
          <w:rFonts w:asciiTheme="minorHAnsi" w:eastAsiaTheme="minorEastAsia" w:hAnsiTheme="minorHAnsi" w:cstheme="minorBidi"/>
          <w:noProof/>
          <w:kern w:val="0"/>
          <w:sz w:val="22"/>
          <w:szCs w:val="22"/>
        </w:rPr>
      </w:pPr>
      <w:r w:rsidRPr="00C56687">
        <w:rPr>
          <w:noProof/>
          <w:color w:val="000000"/>
        </w:rPr>
        <w:t>C.</w:t>
      </w:r>
      <w:r>
        <w:rPr>
          <w:rFonts w:asciiTheme="minorHAnsi" w:eastAsiaTheme="minorEastAsia" w:hAnsiTheme="minorHAnsi" w:cstheme="minorBidi"/>
          <w:noProof/>
          <w:kern w:val="0"/>
          <w:sz w:val="22"/>
          <w:szCs w:val="22"/>
        </w:rPr>
        <w:tab/>
      </w:r>
      <w:r>
        <w:rPr>
          <w:noProof/>
        </w:rPr>
        <w:t xml:space="preserve">Providing </w:t>
      </w:r>
      <w:r w:rsidRPr="00C56687">
        <w:rPr>
          <w:noProof/>
        </w:rPr>
        <w:t xml:space="preserve">A Partial Foreign Income </w:t>
      </w:r>
      <w:r>
        <w:rPr>
          <w:noProof/>
        </w:rPr>
        <w:t xml:space="preserve">Tax Credit Is A Rational and Fair </w:t>
      </w:r>
      <w:r w:rsidRPr="00C56687">
        <w:rPr>
          <w:noProof/>
        </w:rPr>
        <w:t>Response To This Difficult Policy Problem</w:t>
      </w:r>
      <w:r>
        <w:rPr>
          <w:noProof/>
        </w:rPr>
        <w:tab/>
      </w:r>
      <w:r>
        <w:rPr>
          <w:noProof/>
        </w:rPr>
        <w:fldChar w:fldCharType="begin"/>
      </w:r>
      <w:r>
        <w:rPr>
          <w:noProof/>
        </w:rPr>
        <w:instrText xml:space="preserve"> PAGEREF _Toc393794316 \h </w:instrText>
      </w:r>
      <w:r>
        <w:rPr>
          <w:noProof/>
        </w:rPr>
      </w:r>
      <w:r>
        <w:rPr>
          <w:noProof/>
        </w:rPr>
        <w:fldChar w:fldCharType="separate"/>
      </w:r>
      <w:r>
        <w:rPr>
          <w:noProof/>
        </w:rPr>
        <w:t>16</w:t>
      </w:r>
      <w:r>
        <w:rPr>
          <w:noProof/>
        </w:rPr>
        <w:fldChar w:fldCharType="end"/>
      </w:r>
    </w:p>
    <w:p w14:paraId="1260FA57" w14:textId="77777777" w:rsidR="00D10176" w:rsidRDefault="00D10176">
      <w:pPr>
        <w:pStyle w:val="TOC2"/>
        <w:rPr>
          <w:rFonts w:asciiTheme="minorHAnsi" w:eastAsiaTheme="minorEastAsia" w:hAnsiTheme="minorHAnsi" w:cstheme="minorBidi"/>
          <w:noProof/>
          <w:kern w:val="0"/>
          <w:sz w:val="22"/>
          <w:szCs w:val="22"/>
        </w:rPr>
      </w:pPr>
      <w:r w:rsidRPr="00C56687">
        <w:rPr>
          <w:noProof/>
          <w:color w:val="000000"/>
        </w:rPr>
        <w:t>II.</w:t>
      </w:r>
      <w:r>
        <w:rPr>
          <w:rFonts w:asciiTheme="minorHAnsi" w:eastAsiaTheme="minorEastAsia" w:hAnsiTheme="minorHAnsi" w:cstheme="minorBidi"/>
          <w:noProof/>
          <w:kern w:val="0"/>
          <w:sz w:val="22"/>
          <w:szCs w:val="22"/>
        </w:rPr>
        <w:tab/>
      </w:r>
      <w:r>
        <w:rPr>
          <w:noProof/>
        </w:rPr>
        <w:t xml:space="preserve">The </w:t>
      </w:r>
      <w:r w:rsidRPr="00C56687">
        <w:rPr>
          <w:noProof/>
        </w:rPr>
        <w:t xml:space="preserve">Novel Ruling Below </w:t>
      </w:r>
      <w:r>
        <w:rPr>
          <w:noProof/>
        </w:rPr>
        <w:t>Violates State Sovereignty</w:t>
      </w:r>
      <w:r w:rsidRPr="00C56687">
        <w:rPr>
          <w:noProof/>
        </w:rPr>
        <w:t xml:space="preserve"> And Misreads This Court’s Precedents</w:t>
      </w:r>
      <w:r>
        <w:rPr>
          <w:noProof/>
        </w:rPr>
        <w:tab/>
      </w:r>
      <w:r>
        <w:rPr>
          <w:noProof/>
        </w:rPr>
        <w:fldChar w:fldCharType="begin"/>
      </w:r>
      <w:r>
        <w:rPr>
          <w:noProof/>
        </w:rPr>
        <w:instrText xml:space="preserve"> PAGEREF _Toc393794317 \h </w:instrText>
      </w:r>
      <w:r>
        <w:rPr>
          <w:noProof/>
        </w:rPr>
      </w:r>
      <w:r>
        <w:rPr>
          <w:noProof/>
        </w:rPr>
        <w:fldChar w:fldCharType="separate"/>
      </w:r>
      <w:r>
        <w:rPr>
          <w:noProof/>
        </w:rPr>
        <w:t>20</w:t>
      </w:r>
      <w:r>
        <w:rPr>
          <w:noProof/>
        </w:rPr>
        <w:fldChar w:fldCharType="end"/>
      </w:r>
    </w:p>
    <w:p w14:paraId="2D709560" w14:textId="77777777" w:rsidR="00D10176" w:rsidRDefault="00D10176">
      <w:pPr>
        <w:pStyle w:val="TOC1"/>
        <w:rPr>
          <w:rFonts w:asciiTheme="minorHAnsi" w:eastAsiaTheme="minorEastAsia" w:hAnsiTheme="minorHAnsi" w:cstheme="minorBidi"/>
          <w:noProof/>
          <w:kern w:val="0"/>
          <w:sz w:val="22"/>
          <w:szCs w:val="22"/>
        </w:rPr>
      </w:pPr>
      <w:r w:rsidRPr="00C56687">
        <w:rPr>
          <w:noProof/>
        </w:rPr>
        <w:t>CONCLUSION</w:t>
      </w:r>
      <w:r>
        <w:rPr>
          <w:noProof/>
        </w:rPr>
        <w:tab/>
      </w:r>
      <w:r>
        <w:rPr>
          <w:noProof/>
        </w:rPr>
        <w:fldChar w:fldCharType="begin"/>
      </w:r>
      <w:r>
        <w:rPr>
          <w:noProof/>
        </w:rPr>
        <w:instrText xml:space="preserve"> PAGEREF _Toc393794318 \h </w:instrText>
      </w:r>
      <w:r>
        <w:rPr>
          <w:noProof/>
        </w:rPr>
      </w:r>
      <w:r>
        <w:rPr>
          <w:noProof/>
        </w:rPr>
        <w:fldChar w:fldCharType="separate"/>
      </w:r>
      <w:r>
        <w:rPr>
          <w:noProof/>
        </w:rPr>
        <w:t>27</w:t>
      </w:r>
      <w:r>
        <w:rPr>
          <w:noProof/>
        </w:rPr>
        <w:fldChar w:fldCharType="end"/>
      </w:r>
    </w:p>
    <w:p w14:paraId="68976770" w14:textId="77777777" w:rsidR="00747681" w:rsidRDefault="00935E95" w:rsidP="00096FE1">
      <w:pPr>
        <w:pStyle w:val="Heading1"/>
      </w:pPr>
      <w:r>
        <w:fldChar w:fldCharType="end"/>
      </w:r>
      <w:r w:rsidR="00747681">
        <w:br w:type="page"/>
      </w:r>
      <w:bookmarkStart w:id="3" w:name="_Toc393794309"/>
      <w:r w:rsidR="00671BE3">
        <w:lastRenderedPageBreak/>
        <w:t>TABLE OF AUTHORITIES</w:t>
      </w:r>
      <w:bookmarkEnd w:id="3"/>
    </w:p>
    <w:p w14:paraId="13682834" w14:textId="77777777" w:rsidR="00BA2F8C" w:rsidRDefault="00BA2F8C" w:rsidP="00BA2F8C">
      <w:pPr>
        <w:pStyle w:val="BodyText"/>
      </w:pPr>
    </w:p>
    <w:p w14:paraId="1DDB17AD" w14:textId="77777777" w:rsidR="00BA2F8C" w:rsidRPr="00BA2F8C" w:rsidRDefault="00BA2F8C" w:rsidP="00BA2F8C">
      <w:pPr>
        <w:pStyle w:val="BodyText"/>
        <w:sectPr w:rsidR="00BA2F8C" w:rsidRPr="00BA2F8C" w:rsidSect="00C2326D">
          <w:headerReference w:type="default" r:id="rId10"/>
          <w:pgSz w:w="12240" w:h="15840" w:code="1"/>
          <w:pgMar w:top="2880" w:right="3139" w:bottom="3024" w:left="3139" w:header="2304" w:footer="2304" w:gutter="0"/>
          <w:pgNumType w:fmt="lowerRoman" w:start="1"/>
          <w:cols w:space="720"/>
          <w:titlePg/>
          <w:docGrid w:linePitch="360"/>
        </w:sectPr>
      </w:pPr>
    </w:p>
    <w:p w14:paraId="792817F1" w14:textId="77777777" w:rsidR="00A67D2F" w:rsidRDefault="00280064" w:rsidP="00BA2F8C">
      <w:pPr>
        <w:pStyle w:val="Heading1"/>
        <w:rPr>
          <w:caps w:val="0"/>
        </w:rPr>
      </w:pPr>
      <w:bookmarkStart w:id="4" w:name="_Toc393794310"/>
      <w:bookmarkStart w:id="5" w:name="_Toc351623386"/>
      <w:r>
        <w:rPr>
          <w:caps w:val="0"/>
        </w:rPr>
        <w:lastRenderedPageBreak/>
        <w:t>STATEMENT OF INTEREST</w:t>
      </w:r>
      <w:r>
        <w:rPr>
          <w:rStyle w:val="FootnoteReference"/>
          <w:caps w:val="0"/>
        </w:rPr>
        <w:footnoteReference w:id="2"/>
      </w:r>
      <w:bookmarkEnd w:id="4"/>
    </w:p>
    <w:p w14:paraId="31D51FD0" w14:textId="57B4B6F0" w:rsidR="0034459E" w:rsidRPr="00A059BF" w:rsidRDefault="0034459E" w:rsidP="0034459E">
      <w:pPr>
        <w:pStyle w:val="BodyText"/>
      </w:pPr>
      <w:r w:rsidRPr="006144AA">
        <w:rPr>
          <w:i/>
        </w:rPr>
        <w:t xml:space="preserve">Amici curiae </w:t>
      </w:r>
      <w:r w:rsidRPr="00116A5B">
        <w:t xml:space="preserve">respectfully submit this brief </w:t>
      </w:r>
      <w:r>
        <w:t xml:space="preserve">to protect the sovereign interests of state and local governments—including thousands of </w:t>
      </w:r>
      <w:r w:rsidRPr="00116A5B">
        <w:t>counties, cities,</w:t>
      </w:r>
      <w:r>
        <w:t xml:space="preserve"> </w:t>
      </w:r>
      <w:r w:rsidRPr="00116A5B">
        <w:t xml:space="preserve">townships and other municipalities—that </w:t>
      </w:r>
      <w:r w:rsidR="005948EB">
        <w:t xml:space="preserve">need </w:t>
      </w:r>
      <w:r w:rsidR="0074782B">
        <w:t>fle</w:t>
      </w:r>
      <w:r w:rsidR="00845E45">
        <w:t xml:space="preserve">xibility </w:t>
      </w:r>
      <w:r w:rsidR="005948EB">
        <w:t xml:space="preserve">to </w:t>
      </w:r>
      <w:r w:rsidR="00845E45">
        <w:t>raise revenues</w:t>
      </w:r>
      <w:r>
        <w:t xml:space="preserve"> to fund vital benefits and services that </w:t>
      </w:r>
      <w:r w:rsidR="00751261">
        <w:t xml:space="preserve">are enjoyed </w:t>
      </w:r>
      <w:r>
        <w:t xml:space="preserve">primarily, if not exclusively, </w:t>
      </w:r>
      <w:r w:rsidR="00751261">
        <w:t xml:space="preserve">by </w:t>
      </w:r>
      <w:r>
        <w:t xml:space="preserve">their residents. </w:t>
      </w:r>
      <w:r w:rsidR="00E47BC2">
        <w:t xml:space="preserve"> </w:t>
      </w:r>
      <w:r w:rsidR="00E47BC2" w:rsidRPr="00EE0816">
        <w:rPr>
          <w:i/>
        </w:rPr>
        <w:t>Amici</w:t>
      </w:r>
      <w:r w:rsidR="00E47BC2">
        <w:t xml:space="preserve"> urge this Court not to extend principles designed to </w:t>
      </w:r>
      <w:r w:rsidR="006D0BEB">
        <w:t xml:space="preserve">protect </w:t>
      </w:r>
      <w:r w:rsidR="00E65A09">
        <w:t xml:space="preserve">non-residents </w:t>
      </w:r>
      <w:r w:rsidR="006D0BEB">
        <w:t xml:space="preserve">from overreaching local taxation </w:t>
      </w:r>
      <w:r w:rsidR="00E65A09">
        <w:t>to the distinct context of taxes on residents</w:t>
      </w:r>
      <w:r w:rsidR="00C813E4">
        <w:t xml:space="preserve">, where there is </w:t>
      </w:r>
      <w:r w:rsidR="00EE0816">
        <w:t xml:space="preserve">no overreaching, </w:t>
      </w:r>
      <w:r w:rsidR="004D68C8">
        <w:t>no failure of the political process</w:t>
      </w:r>
      <w:r w:rsidR="00E34069">
        <w:t>, and no need for courts to consti</w:t>
      </w:r>
      <w:r w:rsidR="00A03603">
        <w:t>tutionalize an area where flexibility and the need to respond to local conditions are par</w:t>
      </w:r>
      <w:r w:rsidR="008243FF">
        <w:t>amount.</w:t>
      </w:r>
      <w:r w:rsidR="004D68C8">
        <w:t xml:space="preserve"> </w:t>
      </w:r>
    </w:p>
    <w:p w14:paraId="29C42A47" w14:textId="1CC1B455" w:rsidR="00462DF4" w:rsidRDefault="00C44DC9" w:rsidP="00462DF4">
      <w:pPr>
        <w:pStyle w:val="BodyText"/>
      </w:pPr>
      <w:r w:rsidRPr="00EA0C50">
        <w:t xml:space="preserve">Established in 1935, </w:t>
      </w:r>
      <w:r>
        <w:t xml:space="preserve">the </w:t>
      </w:r>
      <w:r w:rsidRPr="00EA0C50">
        <w:t>International Municipal Lawyers Association</w:t>
      </w:r>
      <w:r>
        <w:t xml:space="preserve"> </w:t>
      </w:r>
      <w:r w:rsidRPr="00EA0C50">
        <w:t>(IMLA) is the oldest and</w:t>
      </w:r>
      <w:r>
        <w:t xml:space="preserve"> </w:t>
      </w:r>
      <w:r w:rsidRPr="00EA0C50">
        <w:t>largest association of attorneys representing United</w:t>
      </w:r>
      <w:r>
        <w:t xml:space="preserve"> </w:t>
      </w:r>
      <w:r w:rsidRPr="00EA0C50">
        <w:t>States municipalities, counties and special districts.</w:t>
      </w:r>
      <w:r>
        <w:t xml:space="preserve">  </w:t>
      </w:r>
      <w:r w:rsidR="00462DF4" w:rsidRPr="00EA0C50">
        <w:t>IMLA’s mission is to advance the responsible</w:t>
      </w:r>
      <w:r w:rsidR="00462DF4">
        <w:t xml:space="preserve"> </w:t>
      </w:r>
      <w:r w:rsidR="00462DF4" w:rsidRPr="00EA0C50">
        <w:t>development of municipal law through education and</w:t>
      </w:r>
      <w:r w:rsidR="00462DF4">
        <w:t xml:space="preserve"> </w:t>
      </w:r>
      <w:r w:rsidR="00462DF4" w:rsidRPr="00EA0C50">
        <w:t>advocacy by providing the collective viewpoint of local</w:t>
      </w:r>
      <w:r w:rsidR="00462DF4">
        <w:t xml:space="preserve"> </w:t>
      </w:r>
      <w:r w:rsidR="00462DF4" w:rsidRPr="00EA0C50">
        <w:t>governments around the country on legal issues before</w:t>
      </w:r>
      <w:r w:rsidR="00462DF4">
        <w:t xml:space="preserve"> </w:t>
      </w:r>
      <w:r w:rsidR="00462DF4" w:rsidRPr="00EA0C50">
        <w:t xml:space="preserve">the United </w:t>
      </w:r>
      <w:r w:rsidR="002A2C63">
        <w:t>States Supreme Court, the United</w:t>
      </w:r>
      <w:r w:rsidR="00462DF4" w:rsidRPr="00EA0C50">
        <w:t xml:space="preserve"> States</w:t>
      </w:r>
      <w:r w:rsidR="00462DF4">
        <w:t xml:space="preserve"> </w:t>
      </w:r>
      <w:r w:rsidR="00462DF4" w:rsidRPr="00EA0C50">
        <w:t>Courts of Appeals, and in state supreme and appellate</w:t>
      </w:r>
      <w:r w:rsidR="00462DF4">
        <w:t xml:space="preserve"> </w:t>
      </w:r>
      <w:r w:rsidR="00462DF4" w:rsidRPr="00EA0C50">
        <w:t>courts.</w:t>
      </w:r>
    </w:p>
    <w:p w14:paraId="6F2B99C7" w14:textId="271B74D6" w:rsidR="00C44DC9" w:rsidRPr="00C44DC9" w:rsidRDefault="00C44DC9" w:rsidP="00C44DC9">
      <w:pPr>
        <w:pStyle w:val="BodyText"/>
      </w:pPr>
      <w:r w:rsidRPr="00C44DC9">
        <w:lastRenderedPageBreak/>
        <w:t xml:space="preserve">The National Governors Association </w:t>
      </w:r>
      <w:r w:rsidR="00B52B6B">
        <w:t xml:space="preserve">(NGA) </w:t>
      </w:r>
      <w:r w:rsidRPr="00C44DC9">
        <w:t>is the collective voice of the Nation’s governor</w:t>
      </w:r>
      <w:r w:rsidR="00355FB0" w:rsidRPr="00C44DC9">
        <w:t>s</w:t>
      </w:r>
      <w:r w:rsidR="00355FB0">
        <w:t xml:space="preserve">.  </w:t>
      </w:r>
      <w:r w:rsidR="00355FB0" w:rsidRPr="00C44DC9">
        <w:t>N</w:t>
      </w:r>
      <w:r w:rsidRPr="00C44DC9">
        <w:t xml:space="preserve">GA’s members are the governors of the 50 States, three Territories, and two Commonwealths. </w:t>
      </w:r>
    </w:p>
    <w:p w14:paraId="76B76937" w14:textId="70F45183" w:rsidR="00C44DC9" w:rsidRPr="00C44DC9" w:rsidRDefault="00C44DC9" w:rsidP="00C44DC9">
      <w:pPr>
        <w:pStyle w:val="BodyText"/>
      </w:pPr>
      <w:r w:rsidRPr="00C44DC9">
        <w:t>The National Conference of State Legislatures (NCSL) is a bipartisan organization that serves the legislators and staffs of the nation’s 50 States, its Commonwealths, and Territorie</w:t>
      </w:r>
      <w:r w:rsidR="00355FB0" w:rsidRPr="00C44DC9">
        <w:t>s</w:t>
      </w:r>
      <w:r w:rsidR="00355FB0">
        <w:t xml:space="preserve">.  </w:t>
      </w:r>
      <w:r w:rsidR="00355FB0" w:rsidRPr="00C44DC9">
        <w:t>N</w:t>
      </w:r>
      <w:r w:rsidRPr="00C44DC9">
        <w:t>CSL provides re-search, technical assistance, and opportunities for policymakers to exchange ideas on the most pressing state issue</w:t>
      </w:r>
      <w:r w:rsidR="00355FB0" w:rsidRPr="00C44DC9">
        <w:t>s</w:t>
      </w:r>
      <w:r w:rsidR="00355FB0">
        <w:t xml:space="preserve">.  </w:t>
      </w:r>
      <w:r w:rsidR="00355FB0" w:rsidRPr="00C44DC9">
        <w:t>N</w:t>
      </w:r>
      <w:r w:rsidRPr="00C44DC9">
        <w:t xml:space="preserve">CSL advocates for the interests of state governments before Congress and federal agencies, and regularly submits </w:t>
      </w:r>
      <w:r w:rsidRPr="00C44DC9">
        <w:rPr>
          <w:i/>
          <w:iCs/>
        </w:rPr>
        <w:t xml:space="preserve">amicus </w:t>
      </w:r>
      <w:r w:rsidRPr="00C44DC9">
        <w:t>briefs to this Court in cases, like this one, that raise is</w:t>
      </w:r>
      <w:r w:rsidR="00B52B6B">
        <w:t>sues of vital state concern.</w:t>
      </w:r>
    </w:p>
    <w:p w14:paraId="754C61FB" w14:textId="3CFD7353" w:rsidR="00C44DC9" w:rsidRPr="00C44DC9" w:rsidRDefault="00C44DC9" w:rsidP="00C44DC9">
      <w:pPr>
        <w:pStyle w:val="BodyText"/>
      </w:pPr>
      <w:r w:rsidRPr="00C44DC9">
        <w:t>The Council of State Governments (CSG) is the Nation’s only organization serving all three branches of state governmen</w:t>
      </w:r>
      <w:r w:rsidR="00355FB0" w:rsidRPr="00C44DC9">
        <w:t>t</w:t>
      </w:r>
      <w:r w:rsidR="00355FB0">
        <w:t xml:space="preserve">.  </w:t>
      </w:r>
      <w:r w:rsidR="00355FB0" w:rsidRPr="00C44DC9">
        <w:t>C</w:t>
      </w:r>
      <w:r w:rsidRPr="00C44DC9">
        <w:t>SG is a region-based forum that fosters the exchange of insights and ideas to help state officials shape public polic</w:t>
      </w:r>
      <w:r w:rsidR="00355FB0" w:rsidRPr="00C44DC9">
        <w:t>y</w:t>
      </w:r>
      <w:r w:rsidR="00355FB0">
        <w:t xml:space="preserve">.  </w:t>
      </w:r>
      <w:r w:rsidR="00355FB0" w:rsidRPr="00C44DC9">
        <w:t>T</w:t>
      </w:r>
      <w:r w:rsidRPr="00C44DC9">
        <w:t>his offers unparalleled regional, national, and international opportunities to network, develop leaders, collaborate, and create problem-solving partnerships.</w:t>
      </w:r>
    </w:p>
    <w:p w14:paraId="0E57D5E5" w14:textId="497B68D6" w:rsidR="00C44DC9" w:rsidRPr="00C44DC9" w:rsidRDefault="00C44DC9" w:rsidP="00C44DC9">
      <w:pPr>
        <w:pStyle w:val="BodyText"/>
        <w:rPr>
          <w:lang w:val="x-none"/>
        </w:rPr>
      </w:pPr>
      <w:r w:rsidRPr="00C44DC9">
        <w:rPr>
          <w:lang w:val="x-none"/>
        </w:rPr>
        <w:t>The National League of Cities (NLC) is the oldest and largest organization representing municipal governments throughout the United State</w:t>
      </w:r>
      <w:r w:rsidR="00355FB0" w:rsidRPr="00C44DC9">
        <w:rPr>
          <w:lang w:val="x-none"/>
        </w:rPr>
        <w:t>s</w:t>
      </w:r>
      <w:r w:rsidR="00355FB0">
        <w:rPr>
          <w:lang w:val="x-none"/>
        </w:rPr>
        <w:t xml:space="preserve">.  </w:t>
      </w:r>
      <w:r w:rsidR="00355FB0" w:rsidRPr="00C44DC9">
        <w:rPr>
          <w:lang w:val="x-none"/>
        </w:rPr>
        <w:t>I</w:t>
      </w:r>
      <w:r w:rsidRPr="00C44DC9">
        <w:rPr>
          <w:lang w:val="x-none"/>
        </w:rPr>
        <w:t>ts mission is to strengthen and promote cities as centers of opportunity, leadership, and governanc</w:t>
      </w:r>
      <w:r w:rsidR="00355FB0" w:rsidRPr="00C44DC9">
        <w:rPr>
          <w:lang w:val="x-none"/>
        </w:rPr>
        <w:t>e</w:t>
      </w:r>
      <w:r w:rsidR="00355FB0">
        <w:rPr>
          <w:lang w:val="x-none"/>
        </w:rPr>
        <w:t xml:space="preserve">.  </w:t>
      </w:r>
      <w:r w:rsidR="00355FB0" w:rsidRPr="00C44DC9">
        <w:rPr>
          <w:lang w:val="x-none"/>
        </w:rPr>
        <w:t>W</w:t>
      </w:r>
      <w:r w:rsidRPr="00C44DC9">
        <w:rPr>
          <w:lang w:val="x-none"/>
        </w:rPr>
        <w:t>orking in partnership with 49 State municipal leagues, NLC serves as a national advocate for the more than 19,000 cities, villages, and towns it represents.</w:t>
      </w:r>
    </w:p>
    <w:p w14:paraId="5AB56178" w14:textId="44095C6D" w:rsidR="00C44DC9" w:rsidRPr="00C44DC9" w:rsidRDefault="002A2C63" w:rsidP="00C44DC9">
      <w:pPr>
        <w:pStyle w:val="BodyText"/>
        <w:rPr>
          <w:lang w:val="x-none"/>
        </w:rPr>
      </w:pPr>
      <w:r>
        <w:rPr>
          <w:lang w:val="x-none"/>
        </w:rPr>
        <w:t>The U.</w:t>
      </w:r>
      <w:r w:rsidR="00C44DC9" w:rsidRPr="00C44DC9">
        <w:rPr>
          <w:lang w:val="x-none"/>
        </w:rPr>
        <w:t xml:space="preserve">S. Conference of Mayors (USCM), founded in 1932, is the official nonpartisan organization of all </w:t>
      </w:r>
      <w:r w:rsidR="00C44DC9" w:rsidRPr="00C44DC9">
        <w:rPr>
          <w:lang w:val="x-none"/>
        </w:rPr>
        <w:lastRenderedPageBreak/>
        <w:t>United States cities with a population of more than 30,000 people, which includes over 1,200 cities at presen</w:t>
      </w:r>
      <w:r w:rsidR="00355FB0" w:rsidRPr="00C44DC9">
        <w:rPr>
          <w:lang w:val="x-none"/>
        </w:rPr>
        <w:t>t</w:t>
      </w:r>
      <w:r w:rsidR="00355FB0">
        <w:rPr>
          <w:lang w:val="x-none"/>
        </w:rPr>
        <w:t xml:space="preserve">.  </w:t>
      </w:r>
      <w:r w:rsidR="00355FB0" w:rsidRPr="00C44DC9">
        <w:rPr>
          <w:lang w:val="x-none"/>
        </w:rPr>
        <w:t>E</w:t>
      </w:r>
      <w:r w:rsidR="00C44DC9" w:rsidRPr="00C44DC9">
        <w:rPr>
          <w:lang w:val="x-none"/>
        </w:rPr>
        <w:t>ach city is represented in the USCM by its chief elected official, the mayor.</w:t>
      </w:r>
    </w:p>
    <w:p w14:paraId="0C7E7543" w14:textId="4EC412E5" w:rsidR="00C44DC9" w:rsidRPr="00C44DC9" w:rsidRDefault="00C44DC9" w:rsidP="00C44DC9">
      <w:pPr>
        <w:pStyle w:val="BodyText"/>
      </w:pPr>
      <w:r w:rsidRPr="00C44DC9">
        <w:t>The National Association of Counties (</w:t>
      </w:r>
      <w:proofErr w:type="spellStart"/>
      <w:r w:rsidRPr="00C44DC9">
        <w:t>NACo</w:t>
      </w:r>
      <w:proofErr w:type="spellEnd"/>
      <w:r w:rsidRPr="00C44DC9">
        <w:t xml:space="preserve">) is the only national organization that represents county governments in the United States. </w:t>
      </w:r>
      <w:r w:rsidR="00E86F70">
        <w:t xml:space="preserve"> </w:t>
      </w:r>
      <w:proofErr w:type="spellStart"/>
      <w:r w:rsidRPr="00C44DC9">
        <w:t>NACo</w:t>
      </w:r>
      <w:proofErr w:type="spellEnd"/>
      <w:r w:rsidRPr="00C44DC9">
        <w:t xml:space="preserve"> provides essential services to the nation’s 3,068 counties through advocacy, education, and research.</w:t>
      </w:r>
    </w:p>
    <w:p w14:paraId="6A6544A8" w14:textId="55AEF36D" w:rsidR="00C44DC9" w:rsidRPr="00C44DC9" w:rsidRDefault="00C44DC9" w:rsidP="00C44DC9">
      <w:pPr>
        <w:pStyle w:val="BodyText"/>
      </w:pPr>
      <w:r w:rsidRPr="00C44DC9">
        <w:t xml:space="preserve"> The International City/County Management Association (ICMA) is a nonprofit professional and educational organization of over 9,000 appointed chief executives and assistants serving cities, counties, towns, and regional entitie</w:t>
      </w:r>
      <w:r w:rsidR="00355FB0" w:rsidRPr="00C44DC9">
        <w:t>s</w:t>
      </w:r>
      <w:r w:rsidR="00355FB0">
        <w:t xml:space="preserve">.  </w:t>
      </w:r>
      <w:r w:rsidR="00355FB0" w:rsidRPr="00C44DC9">
        <w:t>I</w:t>
      </w:r>
      <w:r w:rsidRPr="00C44DC9">
        <w:t xml:space="preserve">CMA’s mission is to create excellence in local governance by advocating and developing the professional management of local governments throughout the world. </w:t>
      </w:r>
    </w:p>
    <w:p w14:paraId="4A07DF83" w14:textId="1902CA3D" w:rsidR="00C44DC9" w:rsidRDefault="00E86F70" w:rsidP="00C44DC9">
      <w:pPr>
        <w:pStyle w:val="BodyText"/>
        <w:rPr>
          <w:lang w:val="x-none"/>
        </w:rPr>
      </w:pPr>
      <w:r>
        <w:rPr>
          <w:lang w:val="x-none"/>
        </w:rPr>
        <w:t xml:space="preserve">The </w:t>
      </w:r>
      <w:r w:rsidR="00C44DC9" w:rsidRPr="00C44DC9">
        <w:rPr>
          <w:lang w:val="x-none"/>
        </w:rPr>
        <w:t>Government Finance Officers Association (GFOA) is the professional association of state, provincial, and local finance officers in the United States and Canad</w:t>
      </w:r>
      <w:r w:rsidR="00355FB0" w:rsidRPr="00C44DC9">
        <w:rPr>
          <w:lang w:val="x-none"/>
        </w:rPr>
        <w:t>a</w:t>
      </w:r>
      <w:r w:rsidR="00355FB0">
        <w:rPr>
          <w:lang w:val="x-none"/>
        </w:rPr>
        <w:t xml:space="preserve">.  </w:t>
      </w:r>
      <w:r w:rsidR="00355FB0" w:rsidRPr="00C44DC9">
        <w:rPr>
          <w:lang w:val="x-none"/>
        </w:rPr>
        <w:t>T</w:t>
      </w:r>
      <w:r w:rsidR="00C44DC9" w:rsidRPr="00C44DC9">
        <w:rPr>
          <w:lang w:val="x-none"/>
        </w:rPr>
        <w:t>he GFOA has served the public finance profession since 1906 and continues to provide leadership to government finance professionals through research, education, and the identification and pro-motion of best practice</w:t>
      </w:r>
      <w:r w:rsidR="00355FB0" w:rsidRPr="00C44DC9">
        <w:rPr>
          <w:lang w:val="x-none"/>
        </w:rPr>
        <w:t>s</w:t>
      </w:r>
      <w:r w:rsidR="00355FB0">
        <w:rPr>
          <w:lang w:val="x-none"/>
        </w:rPr>
        <w:t xml:space="preserve">.  </w:t>
      </w:r>
      <w:r w:rsidR="00355FB0" w:rsidRPr="00C44DC9">
        <w:rPr>
          <w:lang w:val="x-none"/>
        </w:rPr>
        <w:t>I</w:t>
      </w:r>
      <w:r w:rsidR="00C44DC9" w:rsidRPr="00C44DC9">
        <w:rPr>
          <w:lang w:val="x-none"/>
        </w:rPr>
        <w:t>ts 17,500 members are dedicated to the sound management of government financial resources.</w:t>
      </w:r>
    </w:p>
    <w:p w14:paraId="3DC1EEF1" w14:textId="623E14BC" w:rsidR="00C44DC9" w:rsidRDefault="00E86F70" w:rsidP="00E86F70">
      <w:pPr>
        <w:pStyle w:val="BodyText"/>
      </w:pPr>
      <w:r w:rsidRPr="00E86F70">
        <w:t>The Maryland Association of Counties (</w:t>
      </w:r>
      <w:proofErr w:type="spellStart"/>
      <w:r w:rsidRPr="00E86F70">
        <w:t>MACo</w:t>
      </w:r>
      <w:proofErr w:type="spellEnd"/>
      <w:r w:rsidRPr="00E86F70">
        <w:t>) serves</w:t>
      </w:r>
      <w:r>
        <w:t xml:space="preserve"> </w:t>
      </w:r>
      <w:r w:rsidRPr="00E86F70">
        <w:t>Maryland’s 23 Counties and Baltimore City by</w:t>
      </w:r>
      <w:r>
        <w:t xml:space="preserve"> </w:t>
      </w:r>
      <w:r w:rsidRPr="00E86F70">
        <w:t>articulating the needs of local government to the</w:t>
      </w:r>
      <w:r>
        <w:t xml:space="preserve"> </w:t>
      </w:r>
      <w:r w:rsidRPr="00E86F70">
        <w:t>Maryland General Assembly.</w:t>
      </w:r>
      <w:r>
        <w:rPr>
          <w:lang w:val="x-none"/>
        </w:rPr>
        <w:t xml:space="preserve">  </w:t>
      </w:r>
      <w:r w:rsidRPr="00E86F70">
        <w:t xml:space="preserve">Although </w:t>
      </w:r>
      <w:proofErr w:type="spellStart"/>
      <w:r w:rsidRPr="00E86F70">
        <w:t>MACo</w:t>
      </w:r>
      <w:proofErr w:type="spellEnd"/>
      <w:r w:rsidRPr="00E86F70">
        <w:t xml:space="preserve"> does not</w:t>
      </w:r>
      <w:r>
        <w:t xml:space="preserve"> </w:t>
      </w:r>
      <w:r w:rsidRPr="00E86F70">
        <w:t xml:space="preserve">regularly advocate in the courts, it has </w:t>
      </w:r>
      <w:r>
        <w:t xml:space="preserve">made </w:t>
      </w:r>
      <w:r w:rsidRPr="00E86F70">
        <w:t xml:space="preserve">an </w:t>
      </w:r>
      <w:r w:rsidRPr="00E86F70">
        <w:lastRenderedPageBreak/>
        <w:t>exception i</w:t>
      </w:r>
      <w:r w:rsidR="00E24BDF">
        <w:t>n this case because of the profound</w:t>
      </w:r>
      <w:r>
        <w:t xml:space="preserve"> </w:t>
      </w:r>
      <w:r w:rsidRPr="00E86F70">
        <w:t>ramifications of the Court of Appeals’ decision on</w:t>
      </w:r>
      <w:r>
        <w:t xml:space="preserve"> </w:t>
      </w:r>
      <w:proofErr w:type="spellStart"/>
      <w:r w:rsidRPr="00E86F70">
        <w:t>MACo’s</w:t>
      </w:r>
      <w:proofErr w:type="spellEnd"/>
      <w:r w:rsidRPr="00E86F70">
        <w:t xml:space="preserve"> member jurisdictions.</w:t>
      </w:r>
    </w:p>
    <w:p w14:paraId="5FF8416A" w14:textId="32C1B95F" w:rsidR="00C73C8E" w:rsidRDefault="00280064" w:rsidP="00BA2F8C">
      <w:pPr>
        <w:pStyle w:val="Heading1"/>
      </w:pPr>
      <w:bookmarkStart w:id="6" w:name="_Toc393794311"/>
      <w:bookmarkEnd w:id="5"/>
      <w:r>
        <w:rPr>
          <w:caps w:val="0"/>
        </w:rPr>
        <w:t>SUMMARY OF ARGUMENT</w:t>
      </w:r>
      <w:bookmarkEnd w:id="6"/>
    </w:p>
    <w:p w14:paraId="256D485C" w14:textId="60B958AC" w:rsidR="00907120" w:rsidRDefault="000955C4" w:rsidP="003E531A">
      <w:pPr>
        <w:pStyle w:val="BodyText"/>
      </w:pPr>
      <w:r>
        <w:t xml:space="preserve">It is well-settled that the unique relationship residents have with the place </w:t>
      </w:r>
      <w:r w:rsidR="003E531A">
        <w:t>they call home justifies a state or local government</w:t>
      </w:r>
      <w:r>
        <w:t xml:space="preserve"> taxing “all income of their residents, including income earned outside their borders.”  </w:t>
      </w:r>
      <w:proofErr w:type="gramStart"/>
      <w:r w:rsidRPr="00D10D5C">
        <w:rPr>
          <w:i/>
        </w:rPr>
        <w:t xml:space="preserve">Oklahoma Tax </w:t>
      </w:r>
      <w:proofErr w:type="spellStart"/>
      <w:r w:rsidRPr="00D10D5C">
        <w:rPr>
          <w:i/>
        </w:rPr>
        <w:t>Comm’n</w:t>
      </w:r>
      <w:proofErr w:type="spellEnd"/>
      <w:r w:rsidRPr="00D10D5C">
        <w:rPr>
          <w:i/>
        </w:rPr>
        <w:t xml:space="preserve"> v. Chickasaw Nation</w:t>
      </w:r>
      <w:r>
        <w:t xml:space="preserve">, 515 U.S. 450, 463 n.12 (1995); </w:t>
      </w:r>
      <w:r w:rsidRPr="00D10D5C">
        <w:rPr>
          <w:i/>
        </w:rPr>
        <w:t>e.g., New York ex rel. Cohn v. Graves</w:t>
      </w:r>
      <w:r>
        <w:t>, 300 U.S. 308, 313 (1937).</w:t>
      </w:r>
      <w:proofErr w:type="gramEnd"/>
      <w:r>
        <w:t xml:space="preserve"> </w:t>
      </w:r>
      <w:r w:rsidR="00EE0816">
        <w:t xml:space="preserve"> </w:t>
      </w:r>
      <w:r w:rsidR="009D566B">
        <w:t xml:space="preserve">While concern that jurisdictions may overreach when taxing non-residents has prompted a long line of cases from this Court addressing allocation of non-resident income to a taxing jurisdiction, there is no comparable justification for constitutionalizing non-discriminatory taxation of residents’ income: </w:t>
      </w:r>
      <w:r w:rsidR="00547F4B">
        <w:t xml:space="preserve"> </w:t>
      </w:r>
      <w:r w:rsidR="009D566B">
        <w:t>There is no similar temptation to overreach because all of a resident's income is already within reach, and the political process provides residents an ample check against abusive or overzealous tax laws.</w:t>
      </w:r>
    </w:p>
    <w:p w14:paraId="0B60E72C" w14:textId="2615D62A" w:rsidR="00E74A00" w:rsidRDefault="00C24A92" w:rsidP="003E531A">
      <w:pPr>
        <w:pStyle w:val="BodyText"/>
      </w:pPr>
      <w:r>
        <w:t xml:space="preserve">State and local governments </w:t>
      </w:r>
      <w:r w:rsidR="003E531A">
        <w:t>“</w:t>
      </w:r>
      <w:proofErr w:type="spellStart"/>
      <w:r w:rsidR="003E531A">
        <w:t>giv</w:t>
      </w:r>
      <w:proofErr w:type="spellEnd"/>
      <w:r w:rsidR="003E531A">
        <w:t>[e]</w:t>
      </w:r>
      <w:r w:rsidR="003E531A" w:rsidRPr="003E531A">
        <w:t xml:space="preserve"> security to life, liberty and the other privileges of dwell</w:t>
      </w:r>
      <w:r w:rsidR="003E531A">
        <w:t xml:space="preserve">ing in a civilized community,” </w:t>
      </w:r>
      <w:r w:rsidR="003E531A" w:rsidRPr="003E531A">
        <w:rPr>
          <w:i/>
        </w:rPr>
        <w:t xml:space="preserve">Maguire v. </w:t>
      </w:r>
      <w:proofErr w:type="spellStart"/>
      <w:r w:rsidR="003E531A" w:rsidRPr="003E531A">
        <w:rPr>
          <w:i/>
        </w:rPr>
        <w:t>Tefrey</w:t>
      </w:r>
      <w:proofErr w:type="spellEnd"/>
      <w:r w:rsidR="003E531A" w:rsidRPr="003E531A">
        <w:t xml:space="preserve">, 253 U.S. </w:t>
      </w:r>
      <w:r w:rsidR="003E531A">
        <w:t xml:space="preserve">12, </w:t>
      </w:r>
      <w:r w:rsidR="003E531A" w:rsidRPr="003E531A">
        <w:t xml:space="preserve">14 </w:t>
      </w:r>
      <w:r w:rsidR="003E531A">
        <w:t xml:space="preserve">(1920), including a </w:t>
      </w:r>
      <w:r>
        <w:t xml:space="preserve">wide array of </w:t>
      </w:r>
      <w:r w:rsidR="00A80EDC">
        <w:t xml:space="preserve">vital public </w:t>
      </w:r>
      <w:r>
        <w:t>benefits—</w:t>
      </w:r>
      <w:r w:rsidR="003E531A">
        <w:t xml:space="preserve">such as </w:t>
      </w:r>
      <w:r w:rsidR="00F23135">
        <w:t>free public schools</w:t>
      </w:r>
      <w:r>
        <w:t>—that are enjoyed primarily, if not ex</w:t>
      </w:r>
      <w:r w:rsidR="00F23135">
        <w:t>clusively, by residents.</w:t>
      </w:r>
      <w:r w:rsidR="00A7355E">
        <w:t xml:space="preserve">  </w:t>
      </w:r>
      <w:r w:rsidR="009D566B">
        <w:t xml:space="preserve">To pay </w:t>
      </w:r>
      <w:r w:rsidR="00A7355E">
        <w:t xml:space="preserve">for those services, </w:t>
      </w:r>
      <w:r w:rsidR="00EE0816">
        <w:t>s</w:t>
      </w:r>
      <w:r w:rsidR="00D571E2">
        <w:t>tate and local government</w:t>
      </w:r>
      <w:r w:rsidR="00EE0816">
        <w:t>s</w:t>
      </w:r>
      <w:r w:rsidR="00D571E2">
        <w:t xml:space="preserve"> need flexibility to determine the optimal mix of </w:t>
      </w:r>
      <w:r w:rsidR="00534DAE">
        <w:t xml:space="preserve">taxes, whether they </w:t>
      </w:r>
      <w:proofErr w:type="gramStart"/>
      <w:r w:rsidR="00534DAE">
        <w:t>be</w:t>
      </w:r>
      <w:proofErr w:type="gramEnd"/>
      <w:r w:rsidR="00534DAE">
        <w:t xml:space="preserve"> levied on income, sales, real </w:t>
      </w:r>
      <w:r w:rsidR="009D566B">
        <w:t>property,</w:t>
      </w:r>
      <w:r w:rsidR="00534DAE">
        <w:t xml:space="preserve"> personal property</w:t>
      </w:r>
      <w:r w:rsidR="009D566B">
        <w:t>, or otherwise.</w:t>
      </w:r>
    </w:p>
    <w:p w14:paraId="0EA2B7ED" w14:textId="2137CABE" w:rsidR="001D600F" w:rsidRDefault="003B57C4" w:rsidP="000B098D">
      <w:pPr>
        <w:pStyle w:val="BodyText"/>
      </w:pPr>
      <w:r>
        <w:t xml:space="preserve">It is an inherent feature of our federalism that people can live in one place and earn money in </w:t>
      </w:r>
      <w:r>
        <w:lastRenderedPageBreak/>
        <w:t xml:space="preserve">another.  </w:t>
      </w:r>
      <w:r w:rsidR="00980ABB">
        <w:t>While a taxing jurisdiction</w:t>
      </w:r>
      <w:r w:rsidR="00EE0816">
        <w:t>’s</w:t>
      </w:r>
      <w:r w:rsidR="00980ABB">
        <w:t xml:space="preserve"> treatment of non-residents raises </w:t>
      </w:r>
      <w:r w:rsidR="000B098D">
        <w:t xml:space="preserve">particular </w:t>
      </w:r>
      <w:r w:rsidR="00980ABB">
        <w:t xml:space="preserve">concerns, </w:t>
      </w:r>
      <w:r w:rsidR="000B098D">
        <w:t xml:space="preserve">this Court has recognized that </w:t>
      </w:r>
      <w:r w:rsidR="00980ABB">
        <w:t xml:space="preserve">a jurisdiction’s treatment of </w:t>
      </w:r>
      <w:r w:rsidR="007F1B08">
        <w:t>its own resident’</w:t>
      </w:r>
      <w:r w:rsidR="00AA319E">
        <w:t xml:space="preserve">s out-of-jurisdiction income </w:t>
      </w:r>
      <w:r w:rsidR="000C3BB1">
        <w:t>g</w:t>
      </w:r>
      <w:r w:rsidR="00EE3AE5">
        <w:t xml:space="preserve">enerally </w:t>
      </w:r>
      <w:r w:rsidR="000B098D">
        <w:t xml:space="preserve">is not a constitutional question for the courts </w:t>
      </w:r>
      <w:r w:rsidR="000B098D" w:rsidRPr="000B098D">
        <w:t>but</w:t>
      </w:r>
      <w:r w:rsidR="000B098D">
        <w:t xml:space="preserve"> </w:t>
      </w:r>
      <w:r>
        <w:t>an “</w:t>
      </w:r>
      <w:r w:rsidRPr="004C21C3">
        <w:t>independent policy decision</w:t>
      </w:r>
      <w:r>
        <w:t>” for state and local governments</w:t>
      </w:r>
      <w:r w:rsidR="000B098D">
        <w:t xml:space="preserve"> to decide</w:t>
      </w:r>
      <w:r w:rsidR="008B2F77">
        <w:t xml:space="preserve">.  </w:t>
      </w:r>
      <w:r w:rsidR="008B2F77" w:rsidRPr="00EE0816">
        <w:t xml:space="preserve"> </w:t>
      </w:r>
      <w:r w:rsidRPr="00FB651F">
        <w:rPr>
          <w:i/>
        </w:rPr>
        <w:t>Chickasaw Nation</w:t>
      </w:r>
      <w:r w:rsidR="008B2F77">
        <w:t xml:space="preserve">, 515 U.S. </w:t>
      </w:r>
      <w:proofErr w:type="gramStart"/>
      <w:r w:rsidR="008B2F77">
        <w:t>at</w:t>
      </w:r>
      <w:r>
        <w:t xml:space="preserve"> 463 n.12</w:t>
      </w:r>
      <w:proofErr w:type="gramEnd"/>
      <w:r>
        <w:t>.</w:t>
      </w:r>
      <w:r w:rsidR="008B2F77">
        <w:t xml:space="preserve">  </w:t>
      </w:r>
      <w:r w:rsidR="00556AC5">
        <w:t xml:space="preserve">Jurisdictions can and sometimes do provide a tax credit for </w:t>
      </w:r>
      <w:r w:rsidR="00DF69D9">
        <w:t>taxes paid by residents</w:t>
      </w:r>
      <w:r w:rsidR="00EE0816">
        <w:t xml:space="preserve"> on income generated </w:t>
      </w:r>
      <w:r w:rsidR="0040439B">
        <w:t>in other jurisdictions</w:t>
      </w:r>
      <w:r w:rsidR="00EE0816">
        <w:t xml:space="preserve">.  </w:t>
      </w:r>
      <w:r w:rsidR="00EE0816">
        <w:rPr>
          <w:i/>
        </w:rPr>
        <w:t>I</w:t>
      </w:r>
      <w:r w:rsidR="00EE0816" w:rsidRPr="00EE0816">
        <w:rPr>
          <w:i/>
        </w:rPr>
        <w:t>d</w:t>
      </w:r>
      <w:r w:rsidR="00EE0816">
        <w:t>.  B</w:t>
      </w:r>
      <w:r w:rsidR="00DF69D9">
        <w:t xml:space="preserve">ut </w:t>
      </w:r>
      <w:r w:rsidR="00EE0816">
        <w:t xml:space="preserve">to raise the same revenue while providing such a </w:t>
      </w:r>
      <w:r w:rsidR="00547F4B">
        <w:t xml:space="preserve">foreign income tax </w:t>
      </w:r>
      <w:r w:rsidR="00EE0816">
        <w:t>credit,</w:t>
      </w:r>
      <w:r w:rsidR="0040439B">
        <w:rPr>
          <w:rStyle w:val="FootnoteReference"/>
        </w:rPr>
        <w:footnoteReference w:id="3"/>
      </w:r>
      <w:r w:rsidR="00EE0816">
        <w:t xml:space="preserve"> a state or local government must raise other </w:t>
      </w:r>
      <w:r w:rsidR="001D600F">
        <w:t>taxes—and t</w:t>
      </w:r>
      <w:r w:rsidR="00487ADB">
        <w:t xml:space="preserve">he potential alternatives </w:t>
      </w:r>
      <w:r w:rsidR="0043498C">
        <w:t xml:space="preserve">tend to be more regressive and </w:t>
      </w:r>
      <w:r w:rsidR="00487ADB">
        <w:t xml:space="preserve">all involve </w:t>
      </w:r>
      <w:r w:rsidR="00D7294E">
        <w:t>different trade-offs and d</w:t>
      </w:r>
      <w:r w:rsidR="000C7491">
        <w:t>ifferent perceived inequities.</w:t>
      </w:r>
    </w:p>
    <w:p w14:paraId="1969D7DD" w14:textId="4287D4DC" w:rsidR="00EE0816" w:rsidRDefault="00F12714" w:rsidP="00EE0816">
      <w:pPr>
        <w:pStyle w:val="BodyText"/>
      </w:pPr>
      <w:r>
        <w:t xml:space="preserve">For example, </w:t>
      </w:r>
      <w:r w:rsidR="000955C4">
        <w:t xml:space="preserve">a </w:t>
      </w:r>
      <w:r w:rsidR="00774887">
        <w:t xml:space="preserve">full </w:t>
      </w:r>
      <w:r w:rsidR="00EE0816">
        <w:t xml:space="preserve">dollar-for-dollar </w:t>
      </w:r>
      <w:r w:rsidR="00547F4B">
        <w:t xml:space="preserve">foreign income </w:t>
      </w:r>
      <w:r w:rsidR="00EE0816">
        <w:t>tax credit</w:t>
      </w:r>
      <w:r w:rsidR="000955C4">
        <w:t xml:space="preserve"> </w:t>
      </w:r>
      <w:r w:rsidR="00774887">
        <w:t xml:space="preserve">avoids the inequity </w:t>
      </w:r>
      <w:r w:rsidR="00EE0816">
        <w:t xml:space="preserve">of two neighbors </w:t>
      </w:r>
      <w:r w:rsidR="00746234">
        <w:t xml:space="preserve">having different tax burdens </w:t>
      </w:r>
      <w:r w:rsidR="00EE0816">
        <w:t xml:space="preserve">even though they earn the same income.  </w:t>
      </w:r>
      <w:r w:rsidR="00746234">
        <w:t xml:space="preserve">But the full tax credit simultaneously creates a </w:t>
      </w:r>
      <w:r w:rsidR="00BA5AC8">
        <w:t xml:space="preserve">different inequity:  </w:t>
      </w:r>
      <w:r w:rsidR="00EE0816">
        <w:t>A</w:t>
      </w:r>
      <w:r w:rsidR="00BA5AC8">
        <w:t xml:space="preserve"> neighbor with substantial </w:t>
      </w:r>
      <w:r w:rsidR="00D76C5C">
        <w:t xml:space="preserve">foreign income </w:t>
      </w:r>
      <w:r w:rsidR="00BA5AC8">
        <w:t xml:space="preserve">will contribute substantially less to pay for local services </w:t>
      </w:r>
      <w:r w:rsidR="004E4D72">
        <w:t xml:space="preserve">like schools </w:t>
      </w:r>
      <w:r w:rsidR="00D76C5C">
        <w:t>than the otherwise identically-situated neighbor earning all her income in-state</w:t>
      </w:r>
      <w:r w:rsidR="005E5F88">
        <w:t xml:space="preserve">, even though </w:t>
      </w:r>
      <w:r w:rsidR="005E5F88">
        <w:lastRenderedPageBreak/>
        <w:t>both take equal advantage of local services</w:t>
      </w:r>
      <w:r w:rsidR="00D76C5C">
        <w:t xml:space="preserve">.  </w:t>
      </w:r>
      <w:r w:rsidR="00F872E6">
        <w:t>And to counterbal</w:t>
      </w:r>
      <w:r w:rsidR="00372951">
        <w:t>a</w:t>
      </w:r>
      <w:r w:rsidR="00F872E6">
        <w:t xml:space="preserve">nce the </w:t>
      </w:r>
      <w:r w:rsidR="000F3D1C">
        <w:t xml:space="preserve">foreign tax </w:t>
      </w:r>
      <w:r w:rsidR="00F872E6">
        <w:t xml:space="preserve">credit, the </w:t>
      </w:r>
      <w:r w:rsidR="00372951">
        <w:t>local jurisdiction will need to raise some other tax, which will fall disproportio</w:t>
      </w:r>
      <w:r w:rsidR="00DA1174">
        <w:t>nately on some other neighbor and often be more regressive.</w:t>
      </w:r>
    </w:p>
    <w:p w14:paraId="160AF4F7" w14:textId="2E670403" w:rsidR="00C24A92" w:rsidRDefault="005E5F88" w:rsidP="00EE0816">
      <w:pPr>
        <w:pStyle w:val="BodyText"/>
      </w:pPr>
      <w:r>
        <w:t xml:space="preserve">The Constitution does not demand a single </w:t>
      </w:r>
      <w:r w:rsidR="00D350F8">
        <w:t xml:space="preserve">bright-line </w:t>
      </w:r>
      <w:r>
        <w:t xml:space="preserve">answer to </w:t>
      </w:r>
      <w:r w:rsidR="00C965E7">
        <w:t xml:space="preserve">what is at </w:t>
      </w:r>
      <w:r>
        <w:t xml:space="preserve">bottom a </w:t>
      </w:r>
      <w:r w:rsidR="00EC6262">
        <w:t xml:space="preserve">complex </w:t>
      </w:r>
      <w:r>
        <w:t>policy questio</w:t>
      </w:r>
      <w:r w:rsidR="005756AE">
        <w:t xml:space="preserve">n for state and local officials.  A jurisdiction can offer its residents a full credit for foreign taxes paid, a partial credit </w:t>
      </w:r>
      <w:r w:rsidR="00D06249">
        <w:t>(for example, phased out for high-income individuals), a deduction (in full or in part) or no credit at all without running afoul of any princi</w:t>
      </w:r>
      <w:r w:rsidR="007458ED">
        <w:t xml:space="preserve">ple enshrined in the Constitution.  </w:t>
      </w:r>
      <w:r w:rsidR="00C24A92">
        <w:t xml:space="preserve">Maryland </w:t>
      </w:r>
      <w:r w:rsidR="00E21D6E">
        <w:t xml:space="preserve">rationally chose a compromise position, providing a full credit at the state level but no credit at the county level.  </w:t>
      </w:r>
      <w:r w:rsidR="00AE6B4C">
        <w:t>Tha</w:t>
      </w:r>
      <w:r w:rsidR="00ED6AEB">
        <w:t>t choice does not cross any constitutional line</w:t>
      </w:r>
      <w:r w:rsidR="00DB71C7">
        <w:t>.</w:t>
      </w:r>
    </w:p>
    <w:p w14:paraId="39F64AF2" w14:textId="5D94EB31" w:rsidR="00503136" w:rsidRDefault="00170A5F" w:rsidP="00170A5F">
      <w:pPr>
        <w:pStyle w:val="BodyText"/>
      </w:pPr>
      <w:r>
        <w:t>In our system of fe</w:t>
      </w:r>
      <w:r w:rsidR="008568B0">
        <w:t>deralism, each of the co-equal S</w:t>
      </w:r>
      <w:r>
        <w:t xml:space="preserve">tates is generally free to organize its affairs as its people determine through the democratic process.  Indeed, deciding how to structure taxes on residents is a quintessential policy judgment generally reserved for each of the several states and its subdivisions.  </w:t>
      </w:r>
      <w:r w:rsidR="00503136">
        <w:t xml:space="preserve">Although the Supremacy Clause ensures that the U.S. Constitution and federal laws and treaties can trump state laws, there is no “horizontal supremacy clause” providing that one state’s lawful exercise of its jurisdiction </w:t>
      </w:r>
      <w:r w:rsidR="001373FD">
        <w:t>must defer to a sister state’s exercise of jurisdiction over that same person</w:t>
      </w:r>
      <w:r w:rsidR="00F3015C">
        <w:t xml:space="preserve">, particularly when the person </w:t>
      </w:r>
      <w:r w:rsidR="00F3015C" w:rsidRPr="00F3015C">
        <w:t xml:space="preserve">lives </w:t>
      </w:r>
      <w:r w:rsidR="00F3015C">
        <w:t xml:space="preserve">in the first state and merely works or invests in the other.  </w:t>
      </w:r>
      <w:r w:rsidR="007C54E6">
        <w:t xml:space="preserve">The Maryland Court of Appeals seriously erred </w:t>
      </w:r>
      <w:r w:rsidR="00C07F67">
        <w:t xml:space="preserve">in misreading the Commerce Clause as a warrant to </w:t>
      </w:r>
      <w:r w:rsidR="00C07F67">
        <w:lastRenderedPageBreak/>
        <w:t xml:space="preserve">break from that </w:t>
      </w:r>
      <w:r w:rsidR="007C54E6">
        <w:t>constitutional tradition, and its decision should be reversed.</w:t>
      </w:r>
    </w:p>
    <w:p w14:paraId="16AA70D8" w14:textId="77777777" w:rsidR="00280064" w:rsidRPr="00AF026D" w:rsidRDefault="00280064" w:rsidP="00280064">
      <w:pPr>
        <w:pStyle w:val="Heading1"/>
      </w:pPr>
      <w:bookmarkStart w:id="7" w:name="_Toc393794312"/>
      <w:r>
        <w:t>ARGUMENT</w:t>
      </w:r>
      <w:bookmarkEnd w:id="7"/>
    </w:p>
    <w:p w14:paraId="4755F2D9" w14:textId="378F3637" w:rsidR="00F63364" w:rsidDel="00FA00F3" w:rsidRDefault="00F63364" w:rsidP="00F63364">
      <w:pPr>
        <w:pStyle w:val="Heading2"/>
      </w:pPr>
      <w:bookmarkStart w:id="8" w:name="_Toc393794313"/>
      <w:bookmarkStart w:id="9" w:name="_Toc351623393"/>
      <w:r>
        <w:rPr>
          <w:lang w:val="en-US"/>
        </w:rPr>
        <w:t xml:space="preserve">Neither the Constitution </w:t>
      </w:r>
      <w:proofErr w:type="gramStart"/>
      <w:r>
        <w:rPr>
          <w:lang w:val="en-US"/>
        </w:rPr>
        <w:t>Nor</w:t>
      </w:r>
      <w:proofErr w:type="gramEnd"/>
      <w:r>
        <w:rPr>
          <w:lang w:val="en-US"/>
        </w:rPr>
        <w:t xml:space="preserve"> Considerations Of Sound Tax Policy Demand </w:t>
      </w:r>
      <w:r w:rsidDel="00FA00F3">
        <w:t xml:space="preserve">A </w:t>
      </w:r>
      <w:r>
        <w:rPr>
          <w:lang w:val="en-US"/>
        </w:rPr>
        <w:t>Full</w:t>
      </w:r>
      <w:r w:rsidRPr="00EE0816">
        <w:rPr>
          <w:lang w:val="en-US"/>
        </w:rPr>
        <w:t xml:space="preserve"> </w:t>
      </w:r>
      <w:r w:rsidDel="00FA00F3">
        <w:t>Dollar-For-D</w:t>
      </w:r>
      <w:r w:rsidRPr="00C36989" w:rsidDel="00FA00F3">
        <w:t xml:space="preserve">ollar </w:t>
      </w:r>
      <w:r w:rsidDel="00FA00F3">
        <w:t>C</w:t>
      </w:r>
      <w:r w:rsidRPr="00C36989" w:rsidDel="00FA00F3">
        <w:t xml:space="preserve">redit </w:t>
      </w:r>
      <w:r w:rsidDel="00FA00F3">
        <w:t xml:space="preserve">For </w:t>
      </w:r>
      <w:r w:rsidR="00300870">
        <w:rPr>
          <w:lang w:val="en-US"/>
        </w:rPr>
        <w:t xml:space="preserve">Foreign </w:t>
      </w:r>
      <w:r w:rsidDel="00FA00F3">
        <w:t>Income Taxes</w:t>
      </w:r>
      <w:r w:rsidR="00282688">
        <w:rPr>
          <w:lang w:val="en-US"/>
        </w:rPr>
        <w:t xml:space="preserve"> Paid</w:t>
      </w:r>
      <w:r w:rsidDel="00FA00F3">
        <w:t>.</w:t>
      </w:r>
      <w:bookmarkEnd w:id="8"/>
    </w:p>
    <w:p w14:paraId="5C6AB09A" w14:textId="3014D7B2" w:rsidR="0048227A" w:rsidRDefault="0048227A" w:rsidP="00F63364">
      <w:pPr>
        <w:pStyle w:val="Heading3"/>
      </w:pPr>
      <w:bookmarkStart w:id="10" w:name="_Toc393794314"/>
      <w:r w:rsidRPr="0048227A">
        <w:t xml:space="preserve">State and Local Governments Provide Residents With Extensive </w:t>
      </w:r>
      <w:r w:rsidR="00E35B94">
        <w:t xml:space="preserve">and Unique </w:t>
      </w:r>
      <w:r w:rsidRPr="0048227A">
        <w:t>Benefits</w:t>
      </w:r>
      <w:r>
        <w:t>.</w:t>
      </w:r>
      <w:bookmarkEnd w:id="10"/>
    </w:p>
    <w:bookmarkEnd w:id="9"/>
    <w:p w14:paraId="5C63D7D5" w14:textId="6918930B" w:rsidR="00DE6896" w:rsidRDefault="007D647E" w:rsidP="003E531A">
      <w:pPr>
        <w:pStyle w:val="BodyText"/>
      </w:pPr>
      <w:r>
        <w:t xml:space="preserve">State and local governments </w:t>
      </w:r>
      <w:r w:rsidR="00DE68B3">
        <w:t xml:space="preserve">provide </w:t>
      </w:r>
      <w:r w:rsidR="00B53110">
        <w:t xml:space="preserve">vital </w:t>
      </w:r>
      <w:r w:rsidR="00170A5F">
        <w:t xml:space="preserve">protections and </w:t>
      </w:r>
      <w:r w:rsidR="00DE68B3">
        <w:t xml:space="preserve">services that </w:t>
      </w:r>
      <w:r>
        <w:t>directly impact</w:t>
      </w:r>
      <w:r w:rsidR="00875FFE">
        <w:t xml:space="preserve"> the lives of </w:t>
      </w:r>
      <w:r w:rsidR="004F16E1">
        <w:t>their residents</w:t>
      </w:r>
      <w:r>
        <w:t xml:space="preserve"> virtually every day.  </w:t>
      </w:r>
      <w:r w:rsidR="003C61AB">
        <w:t xml:space="preserve">They </w:t>
      </w:r>
      <w:r>
        <w:t xml:space="preserve">provide </w:t>
      </w:r>
      <w:r w:rsidRPr="009510C5">
        <w:t>police and fire protection</w:t>
      </w:r>
      <w:r>
        <w:t xml:space="preserve"> to </w:t>
      </w:r>
      <w:r w:rsidR="003E531A">
        <w:t xml:space="preserve">protect life, liberty, and property; </w:t>
      </w:r>
      <w:r w:rsidR="00DE6896">
        <w:t>medical care to keep people health</w:t>
      </w:r>
      <w:r w:rsidR="008350FC">
        <w:t>y</w:t>
      </w:r>
      <w:r w:rsidR="00DE6896">
        <w:t xml:space="preserve">; </w:t>
      </w:r>
      <w:r>
        <w:t xml:space="preserve">roads, bridges, and </w:t>
      </w:r>
      <w:r w:rsidR="00926950">
        <w:t xml:space="preserve">mass </w:t>
      </w:r>
      <w:r>
        <w:t xml:space="preserve">transportation to help people get </w:t>
      </w:r>
      <w:r w:rsidR="008350FC">
        <w:t xml:space="preserve">from place to place; </w:t>
      </w:r>
      <w:r>
        <w:t xml:space="preserve">they </w:t>
      </w:r>
      <w:r w:rsidR="00DE6896">
        <w:t xml:space="preserve">deliver </w:t>
      </w:r>
      <w:r>
        <w:t xml:space="preserve">the </w:t>
      </w:r>
      <w:r w:rsidRPr="009510C5">
        <w:t>water</w:t>
      </w:r>
      <w:r>
        <w:t xml:space="preserve"> we drink; they enforce environmental laws to ensure that water is pure and that the air we breathe is clean; </w:t>
      </w:r>
      <w:r w:rsidR="00AE07CE">
        <w:t xml:space="preserve">they support the unemployed and needy; and </w:t>
      </w:r>
      <w:r>
        <w:t xml:space="preserve">they ensure </w:t>
      </w:r>
      <w:r w:rsidRPr="009510C5">
        <w:t xml:space="preserve">equal access to the </w:t>
      </w:r>
      <w:r>
        <w:t xml:space="preserve">state and local </w:t>
      </w:r>
      <w:r w:rsidRPr="009510C5">
        <w:t>court</w:t>
      </w:r>
      <w:r w:rsidR="00386036" w:rsidRPr="009510C5">
        <w:t>s</w:t>
      </w:r>
      <w:r w:rsidR="00386036">
        <w:t>.  A</w:t>
      </w:r>
      <w:r w:rsidR="0086631C">
        <w:t>ll of these critical services</w:t>
      </w:r>
      <w:r w:rsidR="00C31300">
        <w:t xml:space="preserve"> cost money.  </w:t>
      </w:r>
      <w:r w:rsidR="00827B44" w:rsidRPr="003B0016">
        <w:rPr>
          <w:i/>
        </w:rPr>
        <w:t xml:space="preserve">See </w:t>
      </w:r>
      <w:proofErr w:type="spellStart"/>
      <w:r w:rsidR="00FA00F3" w:rsidRPr="00FA00F3">
        <w:rPr>
          <w:i/>
        </w:rPr>
        <w:t>Compania</w:t>
      </w:r>
      <w:proofErr w:type="spellEnd"/>
      <w:r w:rsidR="00FA00F3" w:rsidRPr="00FA00F3">
        <w:rPr>
          <w:i/>
        </w:rPr>
        <w:t xml:space="preserve"> General de </w:t>
      </w:r>
      <w:proofErr w:type="spellStart"/>
      <w:r w:rsidR="00FA00F3" w:rsidRPr="00FA00F3">
        <w:rPr>
          <w:i/>
        </w:rPr>
        <w:t>Tabacos</w:t>
      </w:r>
      <w:proofErr w:type="spellEnd"/>
      <w:r w:rsidR="00FA00F3" w:rsidRPr="00FA00F3">
        <w:rPr>
          <w:i/>
        </w:rPr>
        <w:t xml:space="preserve"> v. Collector</w:t>
      </w:r>
      <w:r w:rsidR="00FA00F3" w:rsidRPr="00F12714">
        <w:t>, 275 U.S. 87, 100</w:t>
      </w:r>
      <w:r w:rsidR="00FA00F3">
        <w:t xml:space="preserve"> (“</w:t>
      </w:r>
      <w:r w:rsidR="00FA00F3" w:rsidRPr="00845478">
        <w:t>Taxes are what we</w:t>
      </w:r>
      <w:r w:rsidR="00FA00F3">
        <w:t xml:space="preserve"> pay for civilized society….”); </w:t>
      </w:r>
      <w:r w:rsidR="00827B44" w:rsidRPr="003B0016">
        <w:t xml:space="preserve">Jeffrey L. Barnett &amp; Phillip M. Vidal, U.S. Census Bureau, Annual Survey of State and Local Government Finances, </w:t>
      </w:r>
      <w:r w:rsidR="00300E9C">
        <w:t xml:space="preserve">2011 </w:t>
      </w:r>
      <w:r w:rsidR="00827B44" w:rsidRPr="003B0016">
        <w:t xml:space="preserve">Summary </w:t>
      </w:r>
      <w:r w:rsidR="00300E9C">
        <w:t xml:space="preserve">at 3–4 </w:t>
      </w:r>
      <w:r w:rsidR="00827B44" w:rsidRPr="003B0016">
        <w:t>(2013)</w:t>
      </w:r>
      <w:r w:rsidR="00827B44">
        <w:t xml:space="preserve">, </w:t>
      </w:r>
      <w:hyperlink r:id="rId11" w:history="1">
        <w:r w:rsidR="00827B44" w:rsidRPr="00526293">
          <w:rPr>
            <w:rStyle w:val="Hyperlink"/>
          </w:rPr>
          <w:t>http://www2.census.gov/govs/local/summary_report.pdf</w:t>
        </w:r>
      </w:hyperlink>
      <w:r w:rsidR="00827B44">
        <w:t xml:space="preserve"> (“State Survey”) (summarizing costs).  </w:t>
      </w:r>
      <w:r w:rsidR="00C31300">
        <w:t>And a</w:t>
      </w:r>
      <w:r w:rsidR="00DE6896">
        <w:t xml:space="preserve">lthough many of these benefits are available generally to any person </w:t>
      </w:r>
      <w:r w:rsidR="00357BC2">
        <w:t>who</w:t>
      </w:r>
      <w:r w:rsidR="008204F4">
        <w:t xml:space="preserve"> sets foot </w:t>
      </w:r>
      <w:r w:rsidR="00DE6896">
        <w:t xml:space="preserve">in the state or municipality, </w:t>
      </w:r>
      <w:r w:rsidR="009F2E5C">
        <w:t xml:space="preserve">because </w:t>
      </w:r>
      <w:r w:rsidR="00DE6896">
        <w:t xml:space="preserve">they are provided locally </w:t>
      </w:r>
      <w:r w:rsidR="009F2E5C">
        <w:t xml:space="preserve">they </w:t>
      </w:r>
      <w:r w:rsidR="00DE6896">
        <w:t xml:space="preserve">provide the greatest benefit to people who are </w:t>
      </w:r>
      <w:r w:rsidR="008204F4">
        <w:t xml:space="preserve">there </w:t>
      </w:r>
      <w:r w:rsidR="00C31300">
        <w:lastRenderedPageBreak/>
        <w:t>most often</w:t>
      </w:r>
      <w:r w:rsidR="00785277">
        <w:t xml:space="preserve"> and have decided to call </w:t>
      </w:r>
      <w:r w:rsidR="004F16E1">
        <w:t>that place home</w:t>
      </w:r>
      <w:r w:rsidR="00DE6896">
        <w:t xml:space="preserve">: </w:t>
      </w:r>
      <w:r w:rsidR="00F76F95">
        <w:t xml:space="preserve"> r</w:t>
      </w:r>
      <w:r w:rsidR="00C31300">
        <w:t>esidents</w:t>
      </w:r>
      <w:r w:rsidR="00DE6896">
        <w:t>.</w:t>
      </w:r>
    </w:p>
    <w:p w14:paraId="0EBEDC63" w14:textId="1C3EC693" w:rsidR="00170A5F" w:rsidRDefault="00AF5040" w:rsidP="00FA00F3">
      <w:pPr>
        <w:pStyle w:val="BodyText"/>
      </w:pPr>
      <w:r>
        <w:t>State and local governments</w:t>
      </w:r>
      <w:r w:rsidR="00DE6896">
        <w:t xml:space="preserve"> provide </w:t>
      </w:r>
      <w:r>
        <w:t xml:space="preserve">some </w:t>
      </w:r>
      <w:r w:rsidR="00DE6896">
        <w:t xml:space="preserve">important benefits </w:t>
      </w:r>
      <w:r w:rsidR="00DE6896" w:rsidRPr="00EE0816">
        <w:rPr>
          <w:i/>
        </w:rPr>
        <w:t>exclusively</w:t>
      </w:r>
      <w:r w:rsidR="00DE6896">
        <w:t xml:space="preserve"> to residents, with public education being </w:t>
      </w:r>
      <w:r w:rsidR="001D600F">
        <w:t xml:space="preserve">one of </w:t>
      </w:r>
      <w:r w:rsidR="00DE6896">
        <w:t>the most important (and expensive)</w:t>
      </w:r>
      <w:r w:rsidR="00DB413D">
        <w:t xml:space="preserve"> example</w:t>
      </w:r>
      <w:r w:rsidR="001D600F">
        <w:t>s</w:t>
      </w:r>
      <w:r w:rsidR="00DE6896">
        <w:t xml:space="preserve">.  </w:t>
      </w:r>
      <w:r w:rsidR="00035EB1">
        <w:t>Here, for example, r</w:t>
      </w:r>
      <w:r w:rsidR="00B53110">
        <w:t xml:space="preserve">espondents have </w:t>
      </w:r>
      <w:r w:rsidR="00F76F95" w:rsidRPr="009510C5">
        <w:t>five school age children, all of whom could e</w:t>
      </w:r>
      <w:r w:rsidR="009352CB">
        <w:t>njoy</w:t>
      </w:r>
      <w:r w:rsidR="00F76F95" w:rsidRPr="009510C5">
        <w:t xml:space="preserve"> the privilege of a free </w:t>
      </w:r>
      <w:r w:rsidR="00DB413D">
        <w:t xml:space="preserve">top-quality </w:t>
      </w:r>
      <w:r w:rsidR="00F76F95" w:rsidRPr="009510C5">
        <w:t>education from kindergarten through high school</w:t>
      </w:r>
      <w:r w:rsidR="00DB413D">
        <w:t>,</w:t>
      </w:r>
      <w:r w:rsidR="00F76F95" w:rsidRPr="009510C5">
        <w:t xml:space="preserve"> followed by discounted in-state tuition at a public university</w:t>
      </w:r>
      <w:r w:rsidR="00F76F95">
        <w:t xml:space="preserve">.  </w:t>
      </w:r>
      <w:r w:rsidR="00FA00F3" w:rsidRPr="00F12714">
        <w:rPr>
          <w:i/>
        </w:rPr>
        <w:t>See Frankel v. Board of Regents</w:t>
      </w:r>
      <w:r w:rsidR="00FA00F3">
        <w:t xml:space="preserve">, 361 Md. 298, 302 (2000).  </w:t>
      </w:r>
      <w:r w:rsidR="008469DB" w:rsidRPr="009510C5">
        <w:t>R</w:t>
      </w:r>
      <w:r w:rsidR="009510C5" w:rsidRPr="009510C5">
        <w:t xml:space="preserve">oughly 57% of the Howard County budget goes to public </w:t>
      </w:r>
      <w:r w:rsidR="009352CB">
        <w:t>education</w:t>
      </w:r>
      <w:r w:rsidR="008469DB">
        <w:t xml:space="preserve">.  </w:t>
      </w:r>
      <w:r w:rsidR="008469DB" w:rsidRPr="009510C5">
        <w:t>C</w:t>
      </w:r>
      <w:r w:rsidR="009510C5" w:rsidRPr="009510C5">
        <w:t xml:space="preserve">ounty Budget at 5; </w:t>
      </w:r>
      <w:r w:rsidR="009510C5" w:rsidRPr="009510C5">
        <w:rPr>
          <w:i/>
        </w:rPr>
        <w:t>see also id</w:t>
      </w:r>
      <w:r w:rsidR="009A6844">
        <w:t xml:space="preserve">. </w:t>
      </w:r>
      <w:proofErr w:type="gramStart"/>
      <w:r w:rsidR="009A6844">
        <w:t>at</w:t>
      </w:r>
      <w:proofErr w:type="gramEnd"/>
      <w:r w:rsidR="009A6844">
        <w:t> 11</w:t>
      </w:r>
      <w:r w:rsidR="009510C5" w:rsidRPr="009510C5">
        <w:t xml:space="preserve">  (“Nothing is more important than our obligation to the education of our childre</w:t>
      </w:r>
      <w:r w:rsidR="008469DB" w:rsidRPr="009510C5">
        <w:t>n</w:t>
      </w:r>
      <w:r w:rsidR="008469DB">
        <w:t xml:space="preserve">.  </w:t>
      </w:r>
      <w:r w:rsidR="008469DB" w:rsidRPr="009510C5">
        <w:t>I</w:t>
      </w:r>
      <w:r w:rsidR="009510C5" w:rsidRPr="009510C5">
        <w:t>t is the bedrock of the Howard County experience.”</w:t>
      </w:r>
      <w:r w:rsidR="008469DB" w:rsidRPr="009510C5">
        <w:t>)</w:t>
      </w:r>
      <w:r w:rsidR="008469DB">
        <w:t xml:space="preserve">.  </w:t>
      </w:r>
      <w:r w:rsidR="008469DB" w:rsidRPr="009510C5">
        <w:t>M</w:t>
      </w:r>
      <w:r w:rsidR="009510C5" w:rsidRPr="009510C5">
        <w:t xml:space="preserve">aryland </w:t>
      </w:r>
      <w:r w:rsidR="009A6844">
        <w:t xml:space="preserve">similarly </w:t>
      </w:r>
      <w:r w:rsidR="009510C5" w:rsidRPr="009510C5">
        <w:t xml:space="preserve">devotes 36% of its budget to </w:t>
      </w:r>
      <w:r w:rsidR="009352CB">
        <w:t xml:space="preserve">public </w:t>
      </w:r>
      <w:r w:rsidR="009510C5" w:rsidRPr="009510C5">
        <w:t>educatio</w:t>
      </w:r>
      <w:r w:rsidR="008469DB" w:rsidRPr="009510C5">
        <w:t>n</w:t>
      </w:r>
      <w:r w:rsidR="008469DB">
        <w:t xml:space="preserve">.  </w:t>
      </w:r>
      <w:r w:rsidR="008469DB" w:rsidRPr="009510C5">
        <w:t>S</w:t>
      </w:r>
      <w:r w:rsidR="009510C5" w:rsidRPr="009510C5">
        <w:t xml:space="preserve">tate Budget at 7; </w:t>
      </w:r>
      <w:r w:rsidR="009510C5" w:rsidRPr="009510C5">
        <w:rPr>
          <w:i/>
        </w:rPr>
        <w:t xml:space="preserve">see also </w:t>
      </w:r>
      <w:r w:rsidR="003B0016" w:rsidRPr="00355FB0">
        <w:rPr>
          <w:i/>
        </w:rPr>
        <w:t>id</w:t>
      </w:r>
      <w:r w:rsidR="003B0016">
        <w:t xml:space="preserve">. </w:t>
      </w:r>
      <w:proofErr w:type="gramStart"/>
      <w:r w:rsidR="003B0016">
        <w:t>at</w:t>
      </w:r>
      <w:proofErr w:type="gramEnd"/>
      <w:r w:rsidR="003B0016">
        <w:t> iii</w:t>
      </w:r>
      <w:r w:rsidR="009510C5" w:rsidRPr="009510C5">
        <w:t xml:space="preserve"> (“With record investments, we have built the best public school system in America.”).  </w:t>
      </w:r>
      <w:r w:rsidR="00F12714">
        <w:t xml:space="preserve">Maryland residents are also exclusively entitled to Maryland’s Medicaid coverage and certain other health care benefits.  </w:t>
      </w:r>
      <w:r w:rsidR="00F12714" w:rsidRPr="00170A5F">
        <w:rPr>
          <w:i/>
        </w:rPr>
        <w:t>See</w:t>
      </w:r>
      <w:r w:rsidR="00F12714">
        <w:t xml:space="preserve"> Code Md. </w:t>
      </w:r>
      <w:proofErr w:type="spellStart"/>
      <w:r w:rsidR="00F12714">
        <w:t>Regs</w:t>
      </w:r>
      <w:proofErr w:type="spellEnd"/>
      <w:r w:rsidR="00F12714">
        <w:t xml:space="preserve">. </w:t>
      </w:r>
      <w:proofErr w:type="gramStart"/>
      <w:r w:rsidR="00F12714">
        <w:t>10.09.24.05-3(A).</w:t>
      </w:r>
      <w:proofErr w:type="gramEnd"/>
      <w:r w:rsidR="00F12714">
        <w:t xml:space="preserve">  Many forms of public assistance are </w:t>
      </w:r>
      <w:r w:rsidR="000A6AB6">
        <w:t xml:space="preserve">likewise </w:t>
      </w:r>
      <w:r w:rsidR="00F12714">
        <w:t xml:space="preserve">available exclusively to residents.  </w:t>
      </w:r>
      <w:proofErr w:type="gramStart"/>
      <w:r w:rsidR="00F12714" w:rsidRPr="00170A5F">
        <w:rPr>
          <w:i/>
        </w:rPr>
        <w:t>See, e.g.,</w:t>
      </w:r>
      <w:r w:rsidR="00F12714">
        <w:t xml:space="preserve"> Code Md. </w:t>
      </w:r>
      <w:proofErr w:type="spellStart"/>
      <w:r w:rsidR="00F12714">
        <w:t>Regs</w:t>
      </w:r>
      <w:proofErr w:type="spellEnd"/>
      <w:r w:rsidR="00F12714">
        <w:t>.</w:t>
      </w:r>
      <w:proofErr w:type="gramEnd"/>
      <w:r w:rsidR="00F12714">
        <w:t xml:space="preserve"> 07.03.07.03(A</w:t>
      </w:r>
      <w:proofErr w:type="gramStart"/>
      <w:r w:rsidR="00F12714">
        <w:t>)(</w:t>
      </w:r>
      <w:proofErr w:type="gramEnd"/>
      <w:r w:rsidR="00F12714">
        <w:t xml:space="preserve">1), 07.03.17.08(A)(2), 07.03.21.03(A)(1).  </w:t>
      </w:r>
      <w:r w:rsidR="00170A5F">
        <w:t xml:space="preserve">Maryland’s practices </w:t>
      </w:r>
      <w:r w:rsidR="000A6AB6">
        <w:t>in this regard are</w:t>
      </w:r>
      <w:r w:rsidR="00170A5F">
        <w:t xml:space="preserve"> typical, as other state and local governments similarly dedicate extensive resources to </w:t>
      </w:r>
      <w:r w:rsidR="00170A5F" w:rsidRPr="009510C5">
        <w:t xml:space="preserve">public </w:t>
      </w:r>
      <w:r w:rsidR="00170A5F">
        <w:t>education, health care, and support for the indigent</w:t>
      </w:r>
      <w:r w:rsidR="00170A5F" w:rsidRPr="009510C5">
        <w:t xml:space="preserve">.  </w:t>
      </w:r>
      <w:proofErr w:type="gramStart"/>
      <w:r w:rsidR="00170A5F" w:rsidRPr="003B0016">
        <w:rPr>
          <w:i/>
        </w:rPr>
        <w:t xml:space="preserve">See </w:t>
      </w:r>
      <w:r w:rsidR="00170A5F">
        <w:t xml:space="preserve">State Survey at </w:t>
      </w:r>
      <w:r w:rsidR="00170A5F" w:rsidRPr="003B0016">
        <w:t xml:space="preserve">6 </w:t>
      </w:r>
      <w:proofErr w:type="spellStart"/>
      <w:r w:rsidR="00170A5F" w:rsidRPr="003B0016">
        <w:t>tbl</w:t>
      </w:r>
      <w:proofErr w:type="spellEnd"/>
      <w:r w:rsidR="00170A5F" w:rsidRPr="003B0016">
        <w:t>.</w:t>
      </w:r>
      <w:proofErr w:type="gramEnd"/>
      <w:r w:rsidR="00170A5F" w:rsidRPr="003B0016">
        <w:t xml:space="preserve"> </w:t>
      </w:r>
      <w:proofErr w:type="gramStart"/>
      <w:r w:rsidR="00170A5F" w:rsidRPr="003B0016">
        <w:t>A-1</w:t>
      </w:r>
      <w:r w:rsidR="00170A5F" w:rsidRPr="009510C5">
        <w:t>.</w:t>
      </w:r>
      <w:proofErr w:type="gramEnd"/>
    </w:p>
    <w:p w14:paraId="39381C81" w14:textId="324D9DFE" w:rsidR="009510C5" w:rsidRDefault="007D647E" w:rsidP="003902FE">
      <w:pPr>
        <w:pStyle w:val="BodyText"/>
      </w:pPr>
      <w:r>
        <w:t>R</w:t>
      </w:r>
      <w:r w:rsidR="009510C5" w:rsidRPr="009510C5">
        <w:t xml:space="preserve">esidents </w:t>
      </w:r>
      <w:r>
        <w:t xml:space="preserve">also </w:t>
      </w:r>
      <w:r w:rsidR="00AB25A4">
        <w:t xml:space="preserve">exclusively enjoy one other </w:t>
      </w:r>
      <w:r w:rsidR="002A5ED7">
        <w:t xml:space="preserve">unique </w:t>
      </w:r>
      <w:r w:rsidR="00AB25A4">
        <w:t>privilege that directly informs the constitut</w:t>
      </w:r>
      <w:r w:rsidR="00F27CAC">
        <w:t xml:space="preserve">ional </w:t>
      </w:r>
      <w:r w:rsidR="00F27CAC">
        <w:lastRenderedPageBreak/>
        <w:t>issues at stake here</w:t>
      </w:r>
      <w:r w:rsidR="00EE0816">
        <w:t>:</w:t>
      </w:r>
      <w:r w:rsidR="008469DB">
        <w:t xml:space="preserve">  </w:t>
      </w:r>
      <w:r w:rsidR="00F27CAC">
        <w:t>O</w:t>
      </w:r>
      <w:r w:rsidR="009510C5" w:rsidRPr="009510C5">
        <w:t xml:space="preserve">nly residents enjoy the right to vote. </w:t>
      </w:r>
      <w:r w:rsidR="00677D7A">
        <w:t xml:space="preserve"> </w:t>
      </w:r>
      <w:r w:rsidR="00677D7A" w:rsidRPr="00677D7A">
        <w:t xml:space="preserve">Md. Const. Art. </w:t>
      </w:r>
      <w:proofErr w:type="gramStart"/>
      <w:r w:rsidR="00677D7A" w:rsidRPr="00677D7A">
        <w:t>I, § 1.</w:t>
      </w:r>
      <w:proofErr w:type="gramEnd"/>
      <w:r w:rsidR="009510C5" w:rsidRPr="00677D7A">
        <w:t xml:space="preserve">   </w:t>
      </w:r>
      <w:r w:rsidR="009510C5" w:rsidRPr="009510C5">
        <w:t xml:space="preserve">“It is beyond cavil that ‘voting is of the most fundamental significance under our constitutional structure.’” </w:t>
      </w:r>
      <w:r w:rsidR="00B53110">
        <w:t xml:space="preserve"> </w:t>
      </w:r>
      <w:proofErr w:type="gramStart"/>
      <w:r w:rsidR="009510C5" w:rsidRPr="00B53110">
        <w:rPr>
          <w:i/>
        </w:rPr>
        <w:t xml:space="preserve">Burdick v. </w:t>
      </w:r>
      <w:proofErr w:type="spellStart"/>
      <w:r w:rsidR="009510C5" w:rsidRPr="00B53110">
        <w:rPr>
          <w:i/>
        </w:rPr>
        <w:t>Takushi</w:t>
      </w:r>
      <w:proofErr w:type="spellEnd"/>
      <w:r w:rsidR="009510C5" w:rsidRPr="009510C5">
        <w:t>, 504 U.S. 428, 433 (1992).</w:t>
      </w:r>
      <w:proofErr w:type="gramEnd"/>
      <w:r w:rsidR="009510C5" w:rsidRPr="009510C5">
        <w:t xml:space="preserve"> </w:t>
      </w:r>
      <w:r w:rsidR="00386036">
        <w:t xml:space="preserve"> </w:t>
      </w:r>
      <w:r w:rsidR="00BD0633">
        <w:t>U</w:t>
      </w:r>
      <w:r w:rsidR="00D20EE6">
        <w:t xml:space="preserve">nlike non-residents who have no </w:t>
      </w:r>
      <w:r w:rsidR="00BD0633">
        <w:t xml:space="preserve">direct </w:t>
      </w:r>
      <w:r w:rsidR="00D20EE6">
        <w:t xml:space="preserve">say in </w:t>
      </w:r>
      <w:r w:rsidR="00BD0633">
        <w:t xml:space="preserve">setting </w:t>
      </w:r>
      <w:r w:rsidR="00D20EE6">
        <w:t xml:space="preserve">another state’s tax policies, </w:t>
      </w:r>
      <w:r w:rsidR="00BD0633">
        <w:t xml:space="preserve">residents </w:t>
      </w:r>
      <w:r w:rsidR="00D20EE6">
        <w:t xml:space="preserve">can vote to change them.  </w:t>
      </w:r>
      <w:r w:rsidR="0058081B">
        <w:t>Thus</w:t>
      </w:r>
      <w:r w:rsidR="00C36E84">
        <w:t xml:space="preserve">, </w:t>
      </w:r>
      <w:r w:rsidR="009D566B">
        <w:t xml:space="preserve">whereas there are structural reasons </w:t>
      </w:r>
      <w:r w:rsidR="00523B98">
        <w:t xml:space="preserve">to be wary </w:t>
      </w:r>
      <w:r w:rsidR="008D2A40">
        <w:t>of taxes on</w:t>
      </w:r>
      <w:r w:rsidR="009D566B">
        <w:t xml:space="preserve"> </w:t>
      </w:r>
      <w:r w:rsidR="00C36E84">
        <w:t>politically disenfranchised non-residents</w:t>
      </w:r>
      <w:r w:rsidR="009D566B">
        <w:t>,</w:t>
      </w:r>
      <w:r w:rsidR="00C36E84">
        <w:t xml:space="preserve"> </w:t>
      </w:r>
      <w:r w:rsidR="009A34FE">
        <w:t>there is no comparable need</w:t>
      </w:r>
      <w:r w:rsidR="009D566B">
        <w:t xml:space="preserve"> to scrutinize </w:t>
      </w:r>
      <w:r w:rsidR="00EE3151">
        <w:t>policies directed at residents</w:t>
      </w:r>
      <w:r w:rsidR="009D566B">
        <w:t xml:space="preserve"> and instead every reason to defer to the political process</w:t>
      </w:r>
      <w:r w:rsidR="00EE3151">
        <w:t xml:space="preserve">.  </w:t>
      </w:r>
    </w:p>
    <w:p w14:paraId="5B759EBE" w14:textId="31C016CC" w:rsidR="00B8705E" w:rsidRDefault="00887702" w:rsidP="00587B00">
      <w:pPr>
        <w:pStyle w:val="BodyText"/>
      </w:pPr>
      <w:r>
        <w:t xml:space="preserve">States and local governments have a variety of options for raising the revenue necessary </w:t>
      </w:r>
      <w:r w:rsidR="00803BD8">
        <w:t>to pay for the critical services that primarily or exclusively be</w:t>
      </w:r>
      <w:r w:rsidR="00874255">
        <w:t xml:space="preserve">nefit residents.  </w:t>
      </w:r>
      <w:r w:rsidR="009D566B">
        <w:t xml:space="preserve">Sales taxes and taxes on real property </w:t>
      </w:r>
      <w:r w:rsidR="00874255">
        <w:t xml:space="preserve">are </w:t>
      </w:r>
      <w:r w:rsidR="009D566B">
        <w:t xml:space="preserve">important </w:t>
      </w:r>
      <w:r w:rsidR="00874255">
        <w:t>options</w:t>
      </w:r>
      <w:r w:rsidR="00523B98">
        <w:t xml:space="preserve"> that account for much state and local revenue</w:t>
      </w:r>
      <w:r w:rsidR="00874255">
        <w:t xml:space="preserve">.  </w:t>
      </w:r>
      <w:proofErr w:type="gramStart"/>
      <w:r w:rsidR="00523B98">
        <w:t>State Survey at 3.</w:t>
      </w:r>
      <w:proofErr w:type="gramEnd"/>
      <w:r w:rsidR="00523B98">
        <w:t xml:space="preserve">  </w:t>
      </w:r>
      <w:r w:rsidR="009D566B">
        <w:t>T</w:t>
      </w:r>
      <w:r w:rsidR="00695CCD">
        <w:t>he vast majority of States</w:t>
      </w:r>
      <w:r w:rsidR="006B0C3A">
        <w:t>—</w:t>
      </w:r>
      <w:r w:rsidR="00695CCD">
        <w:t>f</w:t>
      </w:r>
      <w:r w:rsidR="007F7F42">
        <w:t xml:space="preserve">orty </w:t>
      </w:r>
      <w:r w:rsidR="00587B00" w:rsidRPr="009510C5">
        <w:t>three</w:t>
      </w:r>
      <w:r w:rsidR="00695CCD">
        <w:t xml:space="preserve"> </w:t>
      </w:r>
      <w:r w:rsidR="007F7F42">
        <w:t>plus</w:t>
      </w:r>
      <w:r w:rsidR="00587B00" w:rsidRPr="009510C5">
        <w:t xml:space="preserve"> the District of Columbia</w:t>
      </w:r>
      <w:r w:rsidR="006B0C3A">
        <w:t>—</w:t>
      </w:r>
      <w:r w:rsidR="009D566B">
        <w:t xml:space="preserve">also </w:t>
      </w:r>
      <w:r w:rsidR="00587B00">
        <w:t xml:space="preserve">fund their operations at least in part through </w:t>
      </w:r>
      <w:r w:rsidR="000B7663">
        <w:t xml:space="preserve">a </w:t>
      </w:r>
      <w:r w:rsidR="00587B00">
        <w:t>ta</w:t>
      </w:r>
      <w:r w:rsidR="00386036">
        <w:t>x</w:t>
      </w:r>
      <w:r w:rsidR="000B7663">
        <w:t xml:space="preserve"> on their residents’ net income</w:t>
      </w:r>
      <w:r w:rsidR="00386036">
        <w:t xml:space="preserve">.  </w:t>
      </w:r>
      <w:proofErr w:type="gramStart"/>
      <w:r w:rsidR="00523B98">
        <w:t xml:space="preserve">Tax Foundation, </w:t>
      </w:r>
      <w:r w:rsidR="00961055" w:rsidRPr="00961055">
        <w:rPr>
          <w:bCs/>
        </w:rPr>
        <w:t xml:space="preserve">2014 State Business Tax Climate </w:t>
      </w:r>
      <w:r w:rsidR="00961055">
        <w:rPr>
          <w:bCs/>
        </w:rPr>
        <w:t xml:space="preserve">16–17 (Oct. 2013), </w:t>
      </w:r>
      <w:hyperlink r:id="rId12" w:history="1">
        <w:r w:rsidR="00961055" w:rsidRPr="00D16448">
          <w:rPr>
            <w:rStyle w:val="Hyperlink"/>
            <w:bCs/>
          </w:rPr>
          <w:t>http://taxfoundation.org/sites/taxfoundation.org/files/docs/2014TaxFoundationIndex_FINAL.pdf</w:t>
        </w:r>
      </w:hyperlink>
      <w:r w:rsidR="00961055">
        <w:rPr>
          <w:bCs/>
        </w:rPr>
        <w:t>.</w:t>
      </w:r>
      <w:proofErr w:type="gramEnd"/>
      <w:r w:rsidR="00961055">
        <w:rPr>
          <w:bCs/>
        </w:rPr>
        <w:t xml:space="preserve">  </w:t>
      </w:r>
      <w:r w:rsidR="00523B98">
        <w:t xml:space="preserve">Nearly </w:t>
      </w:r>
      <w:r w:rsidR="00587B00" w:rsidRPr="009510C5">
        <w:t>5,000 state subdivisions—counties, cities and special districts around the country, with a total population of more than 23 million</w:t>
      </w:r>
      <w:r w:rsidR="00587B00">
        <w:t xml:space="preserve">—have made the same choice.  </w:t>
      </w:r>
      <w:proofErr w:type="gramStart"/>
      <w:r w:rsidR="00587B00" w:rsidRPr="006C2075">
        <w:t xml:space="preserve">Tax Foundation, </w:t>
      </w:r>
      <w:r w:rsidR="00961055">
        <w:t xml:space="preserve">Local </w:t>
      </w:r>
      <w:r w:rsidR="00587B00" w:rsidRPr="006C2075">
        <w:t xml:space="preserve">Income </w:t>
      </w:r>
      <w:r w:rsidR="00961055">
        <w:t>Taxes (</w:t>
      </w:r>
      <w:r w:rsidR="00587B00" w:rsidRPr="006C2075">
        <w:t>Aug. 23, 2011</w:t>
      </w:r>
      <w:r w:rsidR="00961055">
        <w:t>)</w:t>
      </w:r>
      <w:r w:rsidR="00587B00" w:rsidRPr="006C2075">
        <w:t xml:space="preserve">, </w:t>
      </w:r>
      <w:hyperlink r:id="rId13" w:history="1">
        <w:r w:rsidR="00587B00" w:rsidRPr="006C2075">
          <w:rPr>
            <w:rStyle w:val="Hyperlink"/>
          </w:rPr>
          <w:t>http://taxfoundation.org/article/local-income-taxes-city-and-county-level-income-and-wage-taxes-continue-wane</w:t>
        </w:r>
      </w:hyperlink>
      <w:r w:rsidR="00587B00">
        <w:rPr>
          <w:rStyle w:val="Hyperlink"/>
        </w:rPr>
        <w:t>.</w:t>
      </w:r>
      <w:proofErr w:type="gramEnd"/>
      <w:r w:rsidR="00587B00">
        <w:rPr>
          <w:rStyle w:val="Hyperlink"/>
        </w:rPr>
        <w:t xml:space="preserve">  </w:t>
      </w:r>
      <w:r w:rsidR="00587B00" w:rsidRPr="009510C5">
        <w:t>Each of Maryland’s counties assesses an income ta</w:t>
      </w:r>
      <w:r w:rsidR="00587B00">
        <w:t xml:space="preserve">x, at rates from 1.25% to 3.2%.  </w:t>
      </w:r>
      <w:r w:rsidR="00AA3238" w:rsidRPr="00AA3238">
        <w:rPr>
          <w:i/>
        </w:rPr>
        <w:t xml:space="preserve">Id.  </w:t>
      </w:r>
      <w:r w:rsidR="00587B00" w:rsidRPr="009510C5">
        <w:t xml:space="preserve">So too do Indiana’s 92 counties, assessing income taxes </w:t>
      </w:r>
      <w:r w:rsidR="00587B00" w:rsidRPr="009510C5">
        <w:lastRenderedPageBreak/>
        <w:t>at r</w:t>
      </w:r>
      <w:r w:rsidR="00587B00">
        <w:t>ates up to 3.13%.</w:t>
      </w:r>
      <w:r w:rsidR="00587B00" w:rsidRPr="009510C5">
        <w:t xml:space="preserve"> </w:t>
      </w:r>
      <w:r w:rsidR="00587B00">
        <w:t xml:space="preserve"> </w:t>
      </w:r>
      <w:r w:rsidR="00AA3238" w:rsidRPr="00AA3238">
        <w:rPr>
          <w:i/>
        </w:rPr>
        <w:t>Id</w:t>
      </w:r>
      <w:r w:rsidR="00587B00">
        <w:t xml:space="preserve">.  </w:t>
      </w:r>
      <w:r w:rsidR="00587B00" w:rsidRPr="009510C5">
        <w:t>In Ohio, 593 municipalities and 181 school districts assess such a tax, as do 2,469 municipalities and 469 scho</w:t>
      </w:r>
      <w:r w:rsidR="00587B00">
        <w:t xml:space="preserve">ol districts in Pennsylvania.  </w:t>
      </w:r>
      <w:r w:rsidR="00202826" w:rsidRPr="00202826">
        <w:rPr>
          <w:i/>
        </w:rPr>
        <w:t>Id</w:t>
      </w:r>
      <w:r w:rsidR="00587B00">
        <w:t xml:space="preserve">.  </w:t>
      </w:r>
      <w:r w:rsidR="00587B00" w:rsidRPr="009510C5">
        <w:t xml:space="preserve">New York City, Birmingham, Detroit, </w:t>
      </w:r>
      <w:r w:rsidR="00F65606">
        <w:t xml:space="preserve">San Francisco, </w:t>
      </w:r>
      <w:r w:rsidR="00587B00" w:rsidRPr="009510C5">
        <w:t>and numerous other cities nationwide also levy income taxes.</w:t>
      </w:r>
      <w:r w:rsidR="00587B00">
        <w:t xml:space="preserve">  </w:t>
      </w:r>
      <w:r w:rsidR="00F65606" w:rsidRPr="00F65606">
        <w:rPr>
          <w:i/>
        </w:rPr>
        <w:t>Id</w:t>
      </w:r>
      <w:r w:rsidR="00587B00">
        <w:t>.</w:t>
      </w:r>
      <w:r w:rsidR="00640FDA">
        <w:t xml:space="preserve">  </w:t>
      </w:r>
    </w:p>
    <w:p w14:paraId="4E39F3FF" w14:textId="581FE1C5" w:rsidR="001765DF" w:rsidRDefault="001765DF" w:rsidP="001765DF">
      <w:pPr>
        <w:pStyle w:val="BodyText"/>
      </w:pPr>
      <w:r>
        <w:t>R</w:t>
      </w:r>
      <w:r w:rsidRPr="00E534E4">
        <w:t xml:space="preserve">aising revenues through a tax on net income has </w:t>
      </w:r>
      <w:r>
        <w:t>the advantage</w:t>
      </w:r>
      <w:r w:rsidR="00791364">
        <w:t>s</w:t>
      </w:r>
      <w:r>
        <w:t xml:space="preserve"> of having a broad tax base and being more progressive than alternatives.  </w:t>
      </w:r>
      <w:r w:rsidRPr="008F5729">
        <w:rPr>
          <w:i/>
        </w:rPr>
        <w:t>See</w:t>
      </w:r>
      <w:r>
        <w:t xml:space="preserve"> </w:t>
      </w:r>
      <w:r w:rsidRPr="00FF7E37">
        <w:t>Taxation &amp; Economic Policy, Who Pays? A Distributional Analysis of the T</w:t>
      </w:r>
      <w:r>
        <w:t>ax Systems in All 50 States at 1</w:t>
      </w:r>
      <w:r w:rsidRPr="00FF7E37">
        <w:t xml:space="preserve"> (3d. ed. 2009)</w:t>
      </w:r>
      <w:r>
        <w:t xml:space="preserve">, </w:t>
      </w:r>
      <w:hyperlink r:id="rId14" w:history="1">
        <w:r w:rsidRPr="00D16448">
          <w:rPr>
            <w:rStyle w:val="Hyperlink"/>
          </w:rPr>
          <w:t>http://www.itep.org/pdf/whopaysreport.pdf</w:t>
        </w:r>
      </w:hyperlink>
      <w:r>
        <w:t xml:space="preserve"> (“Distributional Analysis”) (“</w:t>
      </w:r>
      <w:r w:rsidRPr="00E534E4">
        <w:t>Of the three broad kinds of taxes states levy (income, property, consumption), the income tax is the</w:t>
      </w:r>
      <w:r>
        <w:t xml:space="preserve"> </w:t>
      </w:r>
      <w:r w:rsidRPr="00E534E4">
        <w:t>only one that is typically progressive in that its rate rises with income levels.</w:t>
      </w:r>
      <w:r>
        <w:t xml:space="preserve">”).  </w:t>
      </w:r>
      <w:r w:rsidRPr="00E534E4">
        <w:t xml:space="preserve">There </w:t>
      </w:r>
      <w:proofErr w:type="gramStart"/>
      <w:r w:rsidRPr="00E534E4">
        <w:t>are</w:t>
      </w:r>
      <w:proofErr w:type="gramEnd"/>
      <w:r w:rsidRPr="00E534E4">
        <w:t>, of course, lively policy debates about the extent to which taxes should be relatively progressive or relatively flat.  But the Constitution is agnostic about that</w:t>
      </w:r>
      <w:r>
        <w:t xml:space="preserve"> debate.  </w:t>
      </w:r>
      <w:proofErr w:type="spellStart"/>
      <w:r w:rsidRPr="00A24F5C">
        <w:rPr>
          <w:i/>
        </w:rPr>
        <w:t>Brushaber</w:t>
      </w:r>
      <w:proofErr w:type="spellEnd"/>
      <w:r w:rsidRPr="00A24F5C">
        <w:rPr>
          <w:i/>
        </w:rPr>
        <w:t xml:space="preserve"> v. Union Pacific Railroad </w:t>
      </w:r>
      <w:r>
        <w:rPr>
          <w:i/>
        </w:rPr>
        <w:t>Co.</w:t>
      </w:r>
      <w:r w:rsidRPr="00A24F5C">
        <w:t xml:space="preserve">, 240 </w:t>
      </w:r>
      <w:hyperlink r:id="rId15" w:tooltip="United States Reports" w:history="1">
        <w:r w:rsidRPr="00A24F5C">
          <w:rPr>
            <w:rStyle w:val="Hyperlink"/>
          </w:rPr>
          <w:t>U.S.</w:t>
        </w:r>
      </w:hyperlink>
      <w:r w:rsidRPr="00A24F5C">
        <w:t xml:space="preserve"> </w:t>
      </w:r>
      <w:hyperlink r:id="rId16" w:history="1">
        <w:r w:rsidRPr="00A24F5C">
          <w:rPr>
            <w:rStyle w:val="Hyperlink"/>
          </w:rPr>
          <w:t>1</w:t>
        </w:r>
      </w:hyperlink>
      <w:r>
        <w:t>, 24–26</w:t>
      </w:r>
      <w:r w:rsidRPr="00A24F5C">
        <w:t xml:space="preserve"> (1916)</w:t>
      </w:r>
      <w:r>
        <w:t xml:space="preserve">; </w:t>
      </w:r>
      <w:r w:rsidRPr="0098711F">
        <w:rPr>
          <w:i/>
        </w:rPr>
        <w:t>see also</w:t>
      </w:r>
      <w:r>
        <w:t xml:space="preserve"> </w:t>
      </w:r>
      <w:proofErr w:type="spellStart"/>
      <w:r w:rsidRPr="00D3043A">
        <w:rPr>
          <w:i/>
        </w:rPr>
        <w:t>Lochner</w:t>
      </w:r>
      <w:proofErr w:type="spellEnd"/>
      <w:r w:rsidRPr="00D3043A">
        <w:rPr>
          <w:i/>
        </w:rPr>
        <w:t xml:space="preserve"> v. New York</w:t>
      </w:r>
      <w:r>
        <w:t>, 198 U.S. 45, 65 (1905) (Holmes, J., dissenting) (</w:t>
      </w:r>
      <w:r w:rsidRPr="0023289C">
        <w:t xml:space="preserve">The Constitution </w:t>
      </w:r>
      <w:r>
        <w:t>“</w:t>
      </w:r>
      <w:r w:rsidRPr="0023289C">
        <w:t xml:space="preserve">does not </w:t>
      </w:r>
      <w:r>
        <w:t xml:space="preserve">enact Mr. </w:t>
      </w:r>
      <w:r w:rsidRPr="0023289C">
        <w:t>Herbert Spencer’s Social Statics.”</w:t>
      </w:r>
      <w:r>
        <w:t xml:space="preserve">).  </w:t>
      </w:r>
      <w:r w:rsidR="00791364">
        <w:t xml:space="preserve">Moreover, unlike property taxes which local governments </w:t>
      </w:r>
      <w:r w:rsidR="006A3964">
        <w:t xml:space="preserve">often </w:t>
      </w:r>
      <w:r w:rsidR="00791364">
        <w:t xml:space="preserve">administer </w:t>
      </w:r>
      <w:proofErr w:type="gramStart"/>
      <w:r w:rsidR="00791364">
        <w:t>themselves</w:t>
      </w:r>
      <w:proofErr w:type="gramEnd"/>
      <w:r w:rsidR="00791364">
        <w:t xml:space="preserve">, local income taxes can “piggyback” on the state’s income tax system.  </w:t>
      </w:r>
      <w:proofErr w:type="gramStart"/>
      <w:r w:rsidR="00791364">
        <w:t xml:space="preserve">Tax Policy Center, Residential Property Taxes in the United States at 3 (Nov. 18, 2013), </w:t>
      </w:r>
      <w:hyperlink r:id="rId17" w:history="1">
        <w:r w:rsidR="00791364" w:rsidRPr="00891550">
          <w:rPr>
            <w:rStyle w:val="Hyperlink"/>
          </w:rPr>
          <w:t>http://www.taxpolicycenter.org/UploadedPDF/412959-Residential-Property-Taxes.pdf</w:t>
        </w:r>
      </w:hyperlink>
      <w:r w:rsidR="00791364">
        <w:t>.</w:t>
      </w:r>
      <w:proofErr w:type="gramEnd"/>
      <w:r w:rsidR="00791364">
        <w:t xml:space="preserve">  </w:t>
      </w:r>
      <w:r>
        <w:t>T</w:t>
      </w:r>
      <w:r w:rsidRPr="00E534E4">
        <w:t>he option of</w:t>
      </w:r>
      <w:r>
        <w:t xml:space="preserve"> imposing an </w:t>
      </w:r>
      <w:r w:rsidRPr="00E534E4">
        <w:t xml:space="preserve">income tax </w:t>
      </w:r>
      <w:r>
        <w:t>on residents</w:t>
      </w:r>
      <w:r w:rsidR="00791364">
        <w:t>’</w:t>
      </w:r>
      <w:r>
        <w:t xml:space="preserve"> net income </w:t>
      </w:r>
      <w:r w:rsidRPr="00E534E4">
        <w:t xml:space="preserve">is </w:t>
      </w:r>
      <w:r>
        <w:lastRenderedPageBreak/>
        <w:t xml:space="preserve">thus </w:t>
      </w:r>
      <w:r w:rsidRPr="00E534E4">
        <w:t>an important option for jurisdictions seeking to avoid regressive means of raising revenues.</w:t>
      </w:r>
    </w:p>
    <w:p w14:paraId="3175EB82" w14:textId="2052511C" w:rsidR="00BB1990" w:rsidRDefault="0067653C" w:rsidP="00F22240">
      <w:pPr>
        <w:pStyle w:val="BodyText"/>
      </w:pPr>
      <w:r>
        <w:t>Where they are imposed, i</w:t>
      </w:r>
      <w:r w:rsidR="00F22240">
        <w:t xml:space="preserve">ncome taxes are </w:t>
      </w:r>
      <w:r w:rsidR="001765DF">
        <w:t xml:space="preserve">also </w:t>
      </w:r>
      <w:r w:rsidR="00F22240">
        <w:t xml:space="preserve">critical to balancing state and </w:t>
      </w:r>
      <w:r w:rsidR="001C1A61">
        <w:t xml:space="preserve">local </w:t>
      </w:r>
      <w:r w:rsidR="00F22240">
        <w:t>budge</w:t>
      </w:r>
      <w:r w:rsidR="001C1A61">
        <w:t>t</w:t>
      </w:r>
      <w:r w:rsidR="00F22240">
        <w:t xml:space="preserve">s.  For example, in fiscal year </w:t>
      </w:r>
      <w:r w:rsidR="00587B00" w:rsidRPr="009510C5">
        <w:t xml:space="preserve">2014, the state and county income taxes in Maryland and Howard County are projected to raise nearly 25% of </w:t>
      </w:r>
      <w:r w:rsidR="00BC7AC5">
        <w:t>each government’s</w:t>
      </w:r>
      <w:r w:rsidR="00587B00" w:rsidRPr="009510C5">
        <w:t xml:space="preserve"> revenue</w:t>
      </w:r>
      <w:r w:rsidR="00587B00">
        <w:t xml:space="preserve">.  </w:t>
      </w:r>
      <w:r w:rsidR="00587B00" w:rsidRPr="009510C5">
        <w:t xml:space="preserve">Maryland Budget Highlights 2014 at 5 (Jan. 16, 2013), at </w:t>
      </w:r>
      <w:hyperlink r:id="rId18" w:history="1">
        <w:r w:rsidR="00587B00" w:rsidRPr="009510C5">
          <w:rPr>
            <w:rStyle w:val="Hyperlink"/>
          </w:rPr>
          <w:t>http://dbm.maryland.gov/agencies/operbudget/documents/2014/budgethighlightsfy2014.pdf</w:t>
        </w:r>
      </w:hyperlink>
      <w:r w:rsidR="00587B00" w:rsidRPr="009510C5">
        <w:t xml:space="preserve"> (“State Budget”) (22% from income tax); Howard County, Maryland, Fiscal Year 2014 Approved Operating Budget Detail at 4, </w:t>
      </w:r>
      <w:hyperlink r:id="rId19" w:history="1">
        <w:r w:rsidR="00587B00" w:rsidRPr="009510C5">
          <w:rPr>
            <w:rStyle w:val="Hyperlink"/>
          </w:rPr>
          <w:t>http://www.howardcountymd.gov/departments.aspx?ID=499</w:t>
        </w:r>
      </w:hyperlink>
      <w:r w:rsidR="00587B00" w:rsidRPr="009510C5">
        <w:t xml:space="preserve"> (County Budget) (23%)</w:t>
      </w:r>
      <w:r w:rsidR="00587B00">
        <w:t xml:space="preserve">.  </w:t>
      </w:r>
      <w:r w:rsidR="005A1122">
        <w:t xml:space="preserve">Again, this is typical of </w:t>
      </w:r>
      <w:r w:rsidR="000C698A">
        <w:t xml:space="preserve">state and local governments </w:t>
      </w:r>
      <w:r w:rsidR="005A1122">
        <w:t xml:space="preserve">that </w:t>
      </w:r>
      <w:r w:rsidR="000C698A">
        <w:t xml:space="preserve">levy </w:t>
      </w:r>
      <w:r w:rsidR="005A1122">
        <w:t>income taxes</w:t>
      </w:r>
      <w:r w:rsidR="00587B00">
        <w:t xml:space="preserve">.  </w:t>
      </w:r>
      <w:proofErr w:type="gramStart"/>
      <w:r w:rsidR="00587B00" w:rsidRPr="009510C5">
        <w:rPr>
          <w:i/>
        </w:rPr>
        <w:t xml:space="preserve">See </w:t>
      </w:r>
      <w:r w:rsidR="00BC7AC5">
        <w:t xml:space="preserve">State Survey at </w:t>
      </w:r>
      <w:r w:rsidR="00587B00" w:rsidRPr="009510C5">
        <w:t xml:space="preserve">6 </w:t>
      </w:r>
      <w:proofErr w:type="spellStart"/>
      <w:r w:rsidR="00587B00" w:rsidRPr="009510C5">
        <w:t>tbl</w:t>
      </w:r>
      <w:proofErr w:type="spellEnd"/>
      <w:r w:rsidR="00587B00" w:rsidRPr="009510C5">
        <w:t>.</w:t>
      </w:r>
      <w:proofErr w:type="gramEnd"/>
      <w:r w:rsidR="00587B00" w:rsidRPr="009510C5">
        <w:t xml:space="preserve"> </w:t>
      </w:r>
      <w:proofErr w:type="gramStart"/>
      <w:r w:rsidR="00587B00" w:rsidRPr="009510C5">
        <w:t>A-1 (21.3% of state and local revenue from individual income taxes).</w:t>
      </w:r>
      <w:proofErr w:type="gramEnd"/>
    </w:p>
    <w:p w14:paraId="3BD4441A" w14:textId="6F9D3AA9" w:rsidR="00F63364" w:rsidRDefault="00F63364" w:rsidP="00F63364">
      <w:pPr>
        <w:pStyle w:val="Heading3"/>
      </w:pPr>
      <w:bookmarkStart w:id="11" w:name="_Toc393794315"/>
      <w:r>
        <w:t xml:space="preserve">Any Approach To Foreign </w:t>
      </w:r>
      <w:r w:rsidR="00300870">
        <w:rPr>
          <w:lang w:val="en-US"/>
        </w:rPr>
        <w:t xml:space="preserve">Income </w:t>
      </w:r>
      <w:r>
        <w:t>Tax</w:t>
      </w:r>
      <w:r w:rsidR="00300870">
        <w:rPr>
          <w:lang w:val="en-US"/>
        </w:rPr>
        <w:t>es</w:t>
      </w:r>
      <w:r>
        <w:t xml:space="preserve"> Has </w:t>
      </w:r>
      <w:r>
        <w:rPr>
          <w:lang w:val="en-US"/>
        </w:rPr>
        <w:t xml:space="preserve">Policy </w:t>
      </w:r>
      <w:r>
        <w:t>Advantages And Disadvantages</w:t>
      </w:r>
      <w:bookmarkEnd w:id="11"/>
    </w:p>
    <w:p w14:paraId="192CF8B0" w14:textId="693087F2" w:rsidR="00F63364" w:rsidRDefault="00F63364" w:rsidP="00F63364">
      <w:pPr>
        <w:pStyle w:val="BodyText"/>
      </w:pPr>
      <w:r>
        <w:t xml:space="preserve">Because </w:t>
      </w:r>
      <w:r w:rsidRPr="00212BEE">
        <w:t>“</w:t>
      </w:r>
      <w:r>
        <w:t>i</w:t>
      </w:r>
      <w:r w:rsidRPr="00212BEE">
        <w:t>ncome may be taxed both by the state where</w:t>
      </w:r>
      <w:r>
        <w:t xml:space="preserve"> </w:t>
      </w:r>
      <w:r w:rsidRPr="00212BEE">
        <w:t>it is earned and by the state of the recipient’s</w:t>
      </w:r>
      <w:r>
        <w:t xml:space="preserve"> domicile,” </w:t>
      </w:r>
      <w:r w:rsidRPr="00D10D5C">
        <w:rPr>
          <w:i/>
        </w:rPr>
        <w:t>Curry</w:t>
      </w:r>
      <w:r>
        <w:rPr>
          <w:i/>
        </w:rPr>
        <w:t xml:space="preserve"> v. </w:t>
      </w:r>
      <w:proofErr w:type="spellStart"/>
      <w:r>
        <w:rPr>
          <w:i/>
        </w:rPr>
        <w:t>McCanless</w:t>
      </w:r>
      <w:proofErr w:type="spellEnd"/>
      <w:r w:rsidRPr="00D10D5C">
        <w:t xml:space="preserve">, 307 U.S. </w:t>
      </w:r>
      <w:r>
        <w:t xml:space="preserve">357, </w:t>
      </w:r>
      <w:r w:rsidRPr="00D10D5C">
        <w:t xml:space="preserve">368 </w:t>
      </w:r>
      <w:r>
        <w:t>(1939), state and local governments must make an “</w:t>
      </w:r>
      <w:r w:rsidRPr="004C21C3">
        <w:t>independent policy decision</w:t>
      </w:r>
      <w:r>
        <w:t xml:space="preserve">” about how to address this overlapping tax jurisdiction and the potential for double taxation, </w:t>
      </w:r>
      <w:r w:rsidRPr="00FB651F">
        <w:rPr>
          <w:i/>
        </w:rPr>
        <w:t>Chickasaw Nation</w:t>
      </w:r>
      <w:r>
        <w:t>, 515 U.S. at 463 n.</w:t>
      </w:r>
      <w:r w:rsidRPr="004C21C3">
        <w:t>12</w:t>
      </w:r>
      <w:r>
        <w:t xml:space="preserve">.  Any approach to this </w:t>
      </w:r>
      <w:r w:rsidR="00300870">
        <w:t xml:space="preserve">issue </w:t>
      </w:r>
      <w:r>
        <w:t>presents polic</w:t>
      </w:r>
      <w:r w:rsidR="00856ABF">
        <w:t>y advantages and disadvantages.</w:t>
      </w:r>
    </w:p>
    <w:p w14:paraId="18E89803" w14:textId="03CAF7D4" w:rsidR="009016E5" w:rsidRDefault="00E61173" w:rsidP="00165924">
      <w:pPr>
        <w:pStyle w:val="BodyText"/>
      </w:pPr>
      <w:r>
        <w:t xml:space="preserve">At the outset, </w:t>
      </w:r>
      <w:r w:rsidR="00C02DC4">
        <w:t xml:space="preserve">a number of policy justifications </w:t>
      </w:r>
      <w:r w:rsidR="00EF26E8">
        <w:t xml:space="preserve">rationally </w:t>
      </w:r>
      <w:r w:rsidR="00C02DC4">
        <w:t xml:space="preserve">support </w:t>
      </w:r>
      <w:r w:rsidR="005B0875">
        <w:t>a</w:t>
      </w:r>
      <w:r w:rsidR="00ED2711">
        <w:t xml:space="preserve"> decision to </w:t>
      </w:r>
      <w:r w:rsidR="00354F72">
        <w:t xml:space="preserve">decline to provide </w:t>
      </w:r>
      <w:r>
        <w:t>a</w:t>
      </w:r>
      <w:r w:rsidR="00816225">
        <w:t xml:space="preserve"> </w:t>
      </w:r>
      <w:r w:rsidR="00816225">
        <w:lastRenderedPageBreak/>
        <w:t xml:space="preserve">credit for income taxes paid to </w:t>
      </w:r>
      <w:r w:rsidR="00300870">
        <w:t xml:space="preserve">foreign </w:t>
      </w:r>
      <w:r w:rsidR="00816225">
        <w:t>jurisdictions</w:t>
      </w:r>
      <w:r w:rsidR="00961055">
        <w:t>.</w:t>
      </w:r>
      <w:r w:rsidR="00130105">
        <w:t xml:space="preserve">  </w:t>
      </w:r>
      <w:r w:rsidR="005B0875">
        <w:t xml:space="preserve">A no-credit regime is </w:t>
      </w:r>
      <w:r w:rsidR="003E421C" w:rsidRPr="00C36989">
        <w:t>simple</w:t>
      </w:r>
      <w:r w:rsidR="00816225">
        <w:t>r</w:t>
      </w:r>
      <w:r w:rsidR="003E421C" w:rsidRPr="00C36989">
        <w:t xml:space="preserve"> for residents to comply with</w:t>
      </w:r>
      <w:r w:rsidR="00165924">
        <w:t xml:space="preserve"> because </w:t>
      </w:r>
      <w:r w:rsidR="005B0875">
        <w:t xml:space="preserve">they </w:t>
      </w:r>
      <w:r w:rsidR="00130105">
        <w:t>need not</w:t>
      </w:r>
      <w:r w:rsidR="003E421C">
        <w:t xml:space="preserve"> document </w:t>
      </w:r>
      <w:r w:rsidR="00E82F83">
        <w:t xml:space="preserve">the taxes paid to </w:t>
      </w:r>
      <w:r w:rsidR="00300870">
        <w:t xml:space="preserve">foreign </w:t>
      </w:r>
      <w:r w:rsidR="00E82F83">
        <w:t>jurisdictions</w:t>
      </w:r>
      <w:r w:rsidR="00C02DC4">
        <w:t>.</w:t>
      </w:r>
      <w:r w:rsidR="003E421C" w:rsidRPr="00C36989">
        <w:t xml:space="preserve"> </w:t>
      </w:r>
      <w:r w:rsidR="00C02DC4">
        <w:t xml:space="preserve"> It is </w:t>
      </w:r>
      <w:r w:rsidR="00E82F83">
        <w:t xml:space="preserve">easier for the </w:t>
      </w:r>
      <w:r w:rsidR="0056092C">
        <w:t xml:space="preserve">government </w:t>
      </w:r>
      <w:r w:rsidR="00E82F83">
        <w:t xml:space="preserve">to administer </w:t>
      </w:r>
      <w:r w:rsidR="00165924">
        <w:t xml:space="preserve">because </w:t>
      </w:r>
      <w:r w:rsidR="00D10C83">
        <w:t xml:space="preserve">it </w:t>
      </w:r>
      <w:r w:rsidR="00E82F83">
        <w:t xml:space="preserve">need not </w:t>
      </w:r>
      <w:r w:rsidR="00E82F83" w:rsidRPr="00C36989">
        <w:t xml:space="preserve">verify the </w:t>
      </w:r>
      <w:r w:rsidR="00E82F83">
        <w:t xml:space="preserve">reported </w:t>
      </w:r>
      <w:r w:rsidR="00E82F83" w:rsidRPr="00C36989">
        <w:t>amount</w:t>
      </w:r>
      <w:r w:rsidR="00165924">
        <w:t xml:space="preserve"> or </w:t>
      </w:r>
      <w:r w:rsidR="0023289C">
        <w:t xml:space="preserve">determine which foreign taxes constitute creditable “income taxes.”  </w:t>
      </w:r>
      <w:r w:rsidR="0023289C" w:rsidRPr="0023289C">
        <w:rPr>
          <w:i/>
        </w:rPr>
        <w:t>Cf</w:t>
      </w:r>
      <w:r w:rsidR="0023289C">
        <w:t xml:space="preserve">. 26 C.F.R. § 1.901-2 (exhaustively distinguishing income taxes from other non-creditable taxes); </w:t>
      </w:r>
      <w:r w:rsidR="00574F72">
        <w:rPr>
          <w:i/>
        </w:rPr>
        <w:t xml:space="preserve">PPL </w:t>
      </w:r>
      <w:r w:rsidR="00165924">
        <w:rPr>
          <w:i/>
        </w:rPr>
        <w:t>Corp. v. Commissioner</w:t>
      </w:r>
      <w:r w:rsidR="00165924">
        <w:t xml:space="preserve">, </w:t>
      </w:r>
      <w:r w:rsidR="0023289C">
        <w:t>133 S. Ct. 1897 (2013)</w:t>
      </w:r>
      <w:r w:rsidR="00165924">
        <w:t xml:space="preserve"> (</w:t>
      </w:r>
      <w:r w:rsidR="0023289C" w:rsidRPr="0023289C">
        <w:t xml:space="preserve">providing an example of </w:t>
      </w:r>
      <w:r w:rsidR="00EF26E8">
        <w:t xml:space="preserve">the </w:t>
      </w:r>
      <w:r w:rsidR="0023289C" w:rsidRPr="0023289C">
        <w:t xml:space="preserve">difficult questions that </w:t>
      </w:r>
      <w:r w:rsidR="0023289C">
        <w:t>can arise</w:t>
      </w:r>
      <w:r w:rsidR="007A2E76">
        <w:t>).  The no-credit approach</w:t>
      </w:r>
      <w:r w:rsidR="00165924">
        <w:t xml:space="preserve"> </w:t>
      </w:r>
      <w:r w:rsidR="00F20B86">
        <w:t>provide</w:t>
      </w:r>
      <w:r w:rsidR="0023289C">
        <w:t>s</w:t>
      </w:r>
      <w:r w:rsidR="00F20B86">
        <w:t xml:space="preserve"> equal treatment to </w:t>
      </w:r>
      <w:r w:rsidR="00165924">
        <w:t xml:space="preserve">all </w:t>
      </w:r>
      <w:r w:rsidR="00F20B86">
        <w:t>residents with the same net income</w:t>
      </w:r>
      <w:r w:rsidR="00165924">
        <w:t>.</w:t>
      </w:r>
      <w:r w:rsidR="00F20B86">
        <w:t xml:space="preserve"> </w:t>
      </w:r>
      <w:r w:rsidR="00165924">
        <w:t xml:space="preserve"> </w:t>
      </w:r>
      <w:r w:rsidR="00165924">
        <w:rPr>
          <w:i/>
        </w:rPr>
        <w:t>S</w:t>
      </w:r>
      <w:r w:rsidR="004D5D65">
        <w:rPr>
          <w:i/>
        </w:rPr>
        <w:t>ee infra</w:t>
      </w:r>
      <w:r w:rsidR="00165924">
        <w:t xml:space="preserve">.  And it </w:t>
      </w:r>
      <w:r w:rsidR="004D5D65">
        <w:t xml:space="preserve">avoids the need to </w:t>
      </w:r>
      <w:r w:rsidR="0023289C">
        <w:t>raise other taxes to recoup</w:t>
      </w:r>
      <w:r w:rsidR="004D5D65">
        <w:t xml:space="preserve"> the substantial cost of a </w:t>
      </w:r>
      <w:r w:rsidR="00C32BD8">
        <w:t>full credit</w:t>
      </w:r>
      <w:r w:rsidR="00B55298">
        <w:t xml:space="preserve">.  </w:t>
      </w:r>
      <w:r w:rsidR="00D10C83">
        <w:rPr>
          <w:i/>
        </w:rPr>
        <w:t xml:space="preserve">E.g., </w:t>
      </w:r>
      <w:r w:rsidR="00E62B7E">
        <w:t xml:space="preserve">Maryland Dep’t of Budget and Management, Tax Expenditures Report, Fiscal Year 2014, at 51 (Feb. 2013), </w:t>
      </w:r>
      <w:hyperlink r:id="rId20" w:history="1">
        <w:r w:rsidR="00E62B7E" w:rsidRPr="00526293">
          <w:rPr>
            <w:rStyle w:val="Hyperlink"/>
          </w:rPr>
          <w:t>http://www.dbm.maryland.gov/agencies/operbudget/Documents/2014/FY14TaxExpendituresRpt.pdf</w:t>
        </w:r>
      </w:hyperlink>
      <w:r w:rsidR="00E62B7E">
        <w:t xml:space="preserve"> (</w:t>
      </w:r>
      <w:r w:rsidR="005D4F99">
        <w:t xml:space="preserve">Maryland’s </w:t>
      </w:r>
      <w:r w:rsidR="00E62B7E">
        <w:t xml:space="preserve">state-level credit costs </w:t>
      </w:r>
      <w:r w:rsidR="00347706">
        <w:t xml:space="preserve">more than </w:t>
      </w:r>
      <w:r w:rsidR="00E62B7E">
        <w:t>$</w:t>
      </w:r>
      <w:r w:rsidR="00347706">
        <w:t xml:space="preserve">200 </w:t>
      </w:r>
      <w:r w:rsidR="00E62B7E">
        <w:t xml:space="preserve">million </w:t>
      </w:r>
      <w:r w:rsidR="00347706">
        <w:t>per year</w:t>
      </w:r>
      <w:r w:rsidR="00961055">
        <w:t>).</w:t>
      </w:r>
    </w:p>
    <w:p w14:paraId="0DFC6C0F" w14:textId="62FDD95A" w:rsidR="006310FA" w:rsidRDefault="007E56FC" w:rsidP="002B00AC">
      <w:pPr>
        <w:pStyle w:val="BodyText"/>
      </w:pPr>
      <w:r w:rsidRPr="000924C3">
        <w:t>Th</w:t>
      </w:r>
      <w:r w:rsidR="00046C2C">
        <w:t>e Maryland Court of Appeals emphasized</w:t>
      </w:r>
      <w:r w:rsidR="00E61F53">
        <w:t xml:space="preserve"> </w:t>
      </w:r>
      <w:r>
        <w:t xml:space="preserve">that </w:t>
      </w:r>
      <w:r w:rsidR="00046C2C">
        <w:t xml:space="preserve">by declining to provide a full </w:t>
      </w:r>
      <w:r w:rsidR="00AD6FCC">
        <w:t xml:space="preserve">dollar-for-dollar </w:t>
      </w:r>
      <w:r w:rsidRPr="000924C3">
        <w:t xml:space="preserve">credit, </w:t>
      </w:r>
      <w:r w:rsidR="00AD6FCC">
        <w:t>Maryland produced a</w:t>
      </w:r>
      <w:r w:rsidR="00C02DC4">
        <w:t>n</w:t>
      </w:r>
      <w:r w:rsidR="00AD6FCC">
        <w:t xml:space="preserve"> </w:t>
      </w:r>
      <w:r w:rsidR="003B2C7E">
        <w:t xml:space="preserve">inequity:  </w:t>
      </w:r>
      <w:r w:rsidR="0023289C">
        <w:t>I</w:t>
      </w:r>
      <w:r w:rsidRPr="000924C3">
        <w:t xml:space="preserve">f a Maryland resident pays </w:t>
      </w:r>
      <w:r w:rsidR="005B0875">
        <w:t>foreign</w:t>
      </w:r>
      <w:r w:rsidRPr="000924C3">
        <w:t xml:space="preserve"> income tax, her effective tax rate will be higher than another resident who earns the same </w:t>
      </w:r>
      <w:r w:rsidR="00EA6B5A">
        <w:t xml:space="preserve">overall </w:t>
      </w:r>
      <w:r w:rsidRPr="000924C3">
        <w:t xml:space="preserve">income but does not pay </w:t>
      </w:r>
      <w:r w:rsidR="005B0875">
        <w:t xml:space="preserve">foreign income </w:t>
      </w:r>
      <w:r w:rsidRPr="000924C3">
        <w:t>tax</w:t>
      </w:r>
      <w:r>
        <w:t xml:space="preserve"> because she earns income only in Maryland or in </w:t>
      </w:r>
      <w:r w:rsidR="00300870">
        <w:t xml:space="preserve">jurisdictions </w:t>
      </w:r>
      <w:r w:rsidR="00C02DC4">
        <w:t xml:space="preserve">without an income tax </w:t>
      </w:r>
      <w:r w:rsidR="007F2049">
        <w:t xml:space="preserve">or </w:t>
      </w:r>
      <w:r>
        <w:t xml:space="preserve">that do not tax </w:t>
      </w:r>
      <w:r w:rsidR="00300870">
        <w:t xml:space="preserve">Maryland </w:t>
      </w:r>
      <w:r>
        <w:t>residents’ income</w:t>
      </w:r>
      <w:r w:rsidR="00300870">
        <w:t>, such as through a tax reciprocity agreement</w:t>
      </w:r>
      <w:r>
        <w:t xml:space="preserve">.  </w:t>
      </w:r>
      <w:r w:rsidR="002B00AC">
        <w:t>Pet. App. 16</w:t>
      </w:r>
      <w:r>
        <w:t xml:space="preserve">.  </w:t>
      </w:r>
      <w:r w:rsidR="002B00AC">
        <w:t xml:space="preserve">The court observed that </w:t>
      </w:r>
      <w:r w:rsidR="00AD3CD1">
        <w:t xml:space="preserve">this </w:t>
      </w:r>
      <w:r w:rsidR="002B00AC">
        <w:t>“</w:t>
      </w:r>
      <w:r w:rsidR="002B00AC" w:rsidRPr="002B00AC">
        <w:t xml:space="preserve">creates a </w:t>
      </w:r>
      <w:r w:rsidR="002B00AC">
        <w:t>disincentive for the taxpayer—</w:t>
      </w:r>
      <w:r w:rsidR="002B00AC" w:rsidRPr="002B00AC">
        <w:t>or the S</w:t>
      </w:r>
      <w:r w:rsidR="002B00AC">
        <w:t xml:space="preserve"> </w:t>
      </w:r>
      <w:r w:rsidR="002B00AC" w:rsidRPr="002B00AC">
        <w:t>corporation of w</w:t>
      </w:r>
      <w:r w:rsidR="002B00AC">
        <w:t xml:space="preserve">hich the </w:t>
      </w:r>
      <w:r w:rsidR="002B00AC">
        <w:lastRenderedPageBreak/>
        <w:t>taxpayer is an owner—</w:t>
      </w:r>
      <w:r w:rsidR="002B00AC" w:rsidRPr="002B00AC">
        <w:t>to</w:t>
      </w:r>
      <w:r w:rsidR="002B00AC">
        <w:t xml:space="preserve"> </w:t>
      </w:r>
      <w:r w:rsidR="002B00AC" w:rsidRPr="002B00AC">
        <w:t>conduct income-generating activities in other states</w:t>
      </w:r>
      <w:r w:rsidR="002B00AC">
        <w:t xml:space="preserve"> </w:t>
      </w:r>
      <w:r w:rsidR="002B00AC" w:rsidRPr="002B00AC">
        <w:t>with income taxes.</w:t>
      </w:r>
      <w:r w:rsidR="002B00AC">
        <w:t xml:space="preserve">”  </w:t>
      </w:r>
      <w:r w:rsidR="002B00AC" w:rsidRPr="002B00AC">
        <w:rPr>
          <w:i/>
        </w:rPr>
        <w:t>Id</w:t>
      </w:r>
      <w:r w:rsidR="002B00AC">
        <w:t>.</w:t>
      </w:r>
      <w:r w:rsidR="006310FA">
        <w:rPr>
          <w:rStyle w:val="FootnoteReference"/>
        </w:rPr>
        <w:footnoteReference w:id="4"/>
      </w:r>
    </w:p>
    <w:p w14:paraId="127FAB62" w14:textId="77777777" w:rsidR="006310FA" w:rsidRDefault="006310FA" w:rsidP="002B00AC">
      <w:pPr>
        <w:pStyle w:val="BodyText"/>
      </w:pPr>
    </w:p>
    <w:p w14:paraId="0D476791" w14:textId="20E58542" w:rsidR="0023289C" w:rsidRDefault="005159BA" w:rsidP="00F460CC">
      <w:pPr>
        <w:pStyle w:val="BodyText"/>
      </w:pPr>
      <w:r>
        <w:t xml:space="preserve">But while the Maryland Court of Appeals is correct that a no-credit </w:t>
      </w:r>
      <w:r w:rsidR="005E466D">
        <w:t>system creates this form of potential inequity</w:t>
      </w:r>
      <w:r w:rsidR="00865805">
        <w:t xml:space="preserve">, </w:t>
      </w:r>
      <w:r w:rsidR="00DF01FB">
        <w:t>t</w:t>
      </w:r>
      <w:r w:rsidR="00063CD1">
        <w:t xml:space="preserve">here is no perfect tax </w:t>
      </w:r>
      <w:proofErr w:type="gramStart"/>
      <w:r w:rsidR="00063CD1">
        <w:t>system</w:t>
      </w:r>
      <w:r w:rsidR="005E466D">
        <w:t>,</w:t>
      </w:r>
      <w:proofErr w:type="gramEnd"/>
      <w:r w:rsidR="005E466D">
        <w:t xml:space="preserve"> and no </w:t>
      </w:r>
      <w:r w:rsidR="00D27EAE">
        <w:t xml:space="preserve">platonic mode of dealing with foreign taxes such that all inequities are </w:t>
      </w:r>
      <w:r w:rsidR="009E44B5">
        <w:t>avoided</w:t>
      </w:r>
      <w:r w:rsidR="00063CD1">
        <w:t xml:space="preserve">.  </w:t>
      </w:r>
      <w:r w:rsidR="00ED3206">
        <w:t xml:space="preserve">Indeed, </w:t>
      </w:r>
      <w:r w:rsidR="0050403B">
        <w:t xml:space="preserve">correcting </w:t>
      </w:r>
      <w:r w:rsidR="00DF01FB">
        <w:t xml:space="preserve">the potential </w:t>
      </w:r>
      <w:r w:rsidR="00ED3206">
        <w:t xml:space="preserve">inequity </w:t>
      </w:r>
      <w:r w:rsidR="00DF01FB">
        <w:t xml:space="preserve">the Maryland Court of Appeals identified </w:t>
      </w:r>
      <w:r w:rsidR="0050403B">
        <w:t xml:space="preserve">by </w:t>
      </w:r>
      <w:r w:rsidR="00F822F8" w:rsidRPr="00B70AAC">
        <w:t xml:space="preserve">providing a dollar-for-dollar tax credit, as Respondents demand, </w:t>
      </w:r>
      <w:r w:rsidR="00965ADF">
        <w:t xml:space="preserve">can only </w:t>
      </w:r>
      <w:proofErr w:type="gramStart"/>
      <w:r w:rsidR="00965ADF">
        <w:t>be</w:t>
      </w:r>
      <w:proofErr w:type="gramEnd"/>
      <w:r w:rsidR="00965ADF">
        <w:t xml:space="preserve"> done by creating</w:t>
      </w:r>
      <w:r w:rsidR="00F822F8" w:rsidRPr="00B70AAC">
        <w:t xml:space="preserve"> </w:t>
      </w:r>
      <w:r w:rsidR="00DF01FB">
        <w:t xml:space="preserve">several </w:t>
      </w:r>
      <w:r w:rsidR="0023289C">
        <w:t>other potential inequities</w:t>
      </w:r>
      <w:r w:rsidR="00F822F8" w:rsidRPr="00B70AAC">
        <w:t xml:space="preserve">.  </w:t>
      </w:r>
      <w:r w:rsidR="00F822F8" w:rsidRPr="00B70AAC">
        <w:rPr>
          <w:i/>
        </w:rPr>
        <w:t>Cf. Logan v. United States</w:t>
      </w:r>
      <w:r w:rsidR="00F822F8" w:rsidRPr="00B70AAC">
        <w:t>, 552 U.S. 23, 33–34 (2007</w:t>
      </w:r>
      <w:r w:rsidR="00386036" w:rsidRPr="00B70AAC">
        <w:t>)</w:t>
      </w:r>
      <w:r w:rsidR="00386036">
        <w:t xml:space="preserve">.  </w:t>
      </w:r>
    </w:p>
    <w:p w14:paraId="3E06D73C" w14:textId="0D705EC1" w:rsidR="008C2190" w:rsidRDefault="0023289C" w:rsidP="00300870">
      <w:pPr>
        <w:pStyle w:val="BodyText"/>
      </w:pPr>
      <w:r>
        <w:t>First, w</w:t>
      </w:r>
      <w:r w:rsidR="00006FFA">
        <w:t xml:space="preserve">ith a full dollar-for-dollar </w:t>
      </w:r>
      <w:r w:rsidR="00300870">
        <w:t xml:space="preserve">foreign </w:t>
      </w:r>
      <w:r w:rsidR="00006FFA">
        <w:t>tax credit</w:t>
      </w:r>
      <w:r w:rsidR="006F00AF">
        <w:t>,</w:t>
      </w:r>
      <w:r w:rsidR="00006FFA">
        <w:t xml:space="preserve"> </w:t>
      </w:r>
      <w:r w:rsidR="006F00AF">
        <w:t>a</w:t>
      </w:r>
      <w:r w:rsidR="00F822F8" w:rsidRPr="00B70AAC">
        <w:t xml:space="preserve"> Maryland resident w</w:t>
      </w:r>
      <w:r w:rsidR="006F00AF">
        <w:t xml:space="preserve">ith </w:t>
      </w:r>
      <w:r w:rsidR="004121FA">
        <w:t xml:space="preserve">substantial </w:t>
      </w:r>
      <w:r w:rsidR="00300870">
        <w:t xml:space="preserve">foreign </w:t>
      </w:r>
      <w:r w:rsidR="004121FA">
        <w:t xml:space="preserve">income </w:t>
      </w:r>
      <w:r w:rsidR="00601A6A">
        <w:t>will contribute</w:t>
      </w:r>
      <w:r w:rsidR="004121FA">
        <w:t xml:space="preserve"> less </w:t>
      </w:r>
      <w:r w:rsidR="00601A6A">
        <w:t xml:space="preserve">toward local services </w:t>
      </w:r>
      <w:r w:rsidR="004121FA">
        <w:t xml:space="preserve">than a neighbor </w:t>
      </w:r>
      <w:r w:rsidR="00601A6A">
        <w:t>with the exact same net income</w:t>
      </w:r>
      <w:r w:rsidR="004739C4">
        <w:t xml:space="preserve"> but no foreign income taxes paid</w:t>
      </w:r>
      <w:r w:rsidR="00601A6A">
        <w:t xml:space="preserve">.  </w:t>
      </w:r>
      <w:r w:rsidR="00F822F8" w:rsidRPr="00F3504C">
        <w:t xml:space="preserve">For example, if </w:t>
      </w:r>
      <w:r w:rsidR="0071117E">
        <w:t xml:space="preserve">a family lived in Howard County, sent two children to the local public schools, </w:t>
      </w:r>
      <w:r w:rsidR="00F822F8" w:rsidRPr="00F3504C">
        <w:t xml:space="preserve">and earned $200,000 a year in Maryland or </w:t>
      </w:r>
      <w:r w:rsidR="00300870">
        <w:t xml:space="preserve">jurisdictions that do not tax Maryland residents’ </w:t>
      </w:r>
      <w:proofErr w:type="gramStart"/>
      <w:r w:rsidR="00F822F8">
        <w:t>income,</w:t>
      </w:r>
      <w:proofErr w:type="gramEnd"/>
      <w:r w:rsidR="00F822F8">
        <w:t xml:space="preserve"> </w:t>
      </w:r>
      <w:r w:rsidR="00AD3CD1">
        <w:t>the family</w:t>
      </w:r>
      <w:r w:rsidR="00F822F8" w:rsidRPr="00F3504C">
        <w:t xml:space="preserve"> would pay income tax to </w:t>
      </w:r>
      <w:r w:rsidR="00F822F8">
        <w:t xml:space="preserve">the state and county </w:t>
      </w:r>
      <w:r w:rsidR="00797602">
        <w:t>on the full $200,00</w:t>
      </w:r>
      <w:r w:rsidR="002D215A">
        <w:t>0.  B</w:t>
      </w:r>
      <w:r w:rsidR="00F822F8" w:rsidRPr="00F3504C">
        <w:t xml:space="preserve">ut </w:t>
      </w:r>
      <w:r w:rsidR="002D215A">
        <w:t xml:space="preserve">with a full dollar-for-dollar </w:t>
      </w:r>
      <w:r w:rsidR="00300870">
        <w:t xml:space="preserve">foreign tax </w:t>
      </w:r>
      <w:r w:rsidR="002D215A">
        <w:t>credit, the</w:t>
      </w:r>
      <w:r w:rsidR="00F822F8" w:rsidRPr="00F3504C">
        <w:t xml:space="preserve"> family next door </w:t>
      </w:r>
      <w:r w:rsidR="00AD3CD1">
        <w:t xml:space="preserve">with the same income and </w:t>
      </w:r>
      <w:r w:rsidR="0071117E">
        <w:t xml:space="preserve">two children </w:t>
      </w:r>
      <w:r w:rsidR="005C23F6">
        <w:t xml:space="preserve">at </w:t>
      </w:r>
      <w:r w:rsidR="0071117E">
        <w:lastRenderedPageBreak/>
        <w:t xml:space="preserve">the same school </w:t>
      </w:r>
      <w:r w:rsidR="00F822F8">
        <w:t>w</w:t>
      </w:r>
      <w:r w:rsidR="00F822F8" w:rsidRPr="00F3504C">
        <w:t xml:space="preserve">ould pay </w:t>
      </w:r>
      <w:r w:rsidR="00F822F8">
        <w:t xml:space="preserve">less </w:t>
      </w:r>
      <w:r w:rsidR="00804D12">
        <w:t xml:space="preserve">to support those </w:t>
      </w:r>
      <w:r w:rsidR="005E6E1C">
        <w:t xml:space="preserve">very </w:t>
      </w:r>
      <w:r w:rsidR="00F822F8">
        <w:t xml:space="preserve">same services if it earned part of </w:t>
      </w:r>
      <w:r w:rsidR="006E257E">
        <w:t xml:space="preserve">its </w:t>
      </w:r>
      <w:r w:rsidR="00F822F8">
        <w:t xml:space="preserve">income in </w:t>
      </w:r>
      <w:r w:rsidR="00992DEE">
        <w:t xml:space="preserve">foreign </w:t>
      </w:r>
      <w:r w:rsidR="00300870">
        <w:t xml:space="preserve">jurisdictions </w:t>
      </w:r>
      <w:r w:rsidR="00AD3CD1">
        <w:t xml:space="preserve">that taxed </w:t>
      </w:r>
      <w:r w:rsidR="00300870">
        <w:t xml:space="preserve">Maryland </w:t>
      </w:r>
      <w:r w:rsidR="00AD3CD1">
        <w:t>residents’ incom</w:t>
      </w:r>
      <w:r w:rsidR="00355FB0">
        <w:t>e.  I</w:t>
      </w:r>
      <w:r w:rsidR="00F822F8">
        <w:t xml:space="preserve">ndeed, if the income was earned in </w:t>
      </w:r>
      <w:r w:rsidR="00AE4212">
        <w:t xml:space="preserve">New York, New Jersey, or </w:t>
      </w:r>
      <w:r w:rsidR="00F822F8">
        <w:t>other jurisdictions</w:t>
      </w:r>
      <w:r w:rsidR="00F822F8" w:rsidRPr="006E4FED">
        <w:t xml:space="preserve"> that have </w:t>
      </w:r>
      <w:r w:rsidR="00F822F8">
        <w:t xml:space="preserve">combined </w:t>
      </w:r>
      <w:r w:rsidR="00F822F8" w:rsidRPr="006E4FED">
        <w:t>income tax rates that are higher than the combined Maryland and Howard County rate</w:t>
      </w:r>
      <w:r w:rsidR="00F822F8">
        <w:t>s</w:t>
      </w:r>
      <w:r w:rsidR="00F822F8" w:rsidRPr="006E4FED">
        <w:t xml:space="preserve"> (7.95% in 2006),</w:t>
      </w:r>
      <w:r w:rsidR="00F822F8">
        <w:t xml:space="preserve"> the out-of-state earner </w:t>
      </w:r>
      <w:r w:rsidR="00B833E5">
        <w:t>c</w:t>
      </w:r>
      <w:r w:rsidR="00AE4212">
        <w:t xml:space="preserve">ould </w:t>
      </w:r>
      <w:r w:rsidR="00F822F8">
        <w:t xml:space="preserve">pay </w:t>
      </w:r>
      <w:r w:rsidR="0035565B">
        <w:t xml:space="preserve">little or </w:t>
      </w:r>
      <w:r w:rsidR="00F822F8">
        <w:t>no state or county tax</w:t>
      </w:r>
      <w:r w:rsidR="006E257E">
        <w:t xml:space="preserve"> at all</w:t>
      </w:r>
      <w:r w:rsidR="00F822F8">
        <w:t xml:space="preserve">. </w:t>
      </w:r>
      <w:r w:rsidR="00AE4212">
        <w:t xml:space="preserve"> </w:t>
      </w:r>
      <w:r w:rsidR="00F822F8" w:rsidRPr="00F3504C">
        <w:rPr>
          <w:i/>
        </w:rPr>
        <w:t>See Comptroller of Treasury v. Blanton</w:t>
      </w:r>
      <w:r w:rsidR="00F822F8" w:rsidRPr="00F3504C">
        <w:t>, 390 Md. 528, 536 n.9 (2006) (describing as “</w:t>
      </w:r>
      <w:proofErr w:type="spellStart"/>
      <w:r w:rsidR="00F822F8" w:rsidRPr="00F3504C">
        <w:t>possibl</w:t>
      </w:r>
      <w:proofErr w:type="spellEnd"/>
      <w:r w:rsidR="00F822F8" w:rsidRPr="00F3504C">
        <w:t>[y] absurd” the prospect of one family “paying little or no local tax for the services provided by the county while a neighbor with similar income, exemptions, and deductions might be paying a substantial local t</w:t>
      </w:r>
      <w:r w:rsidR="00C85D65">
        <w:t>ax to support those services”).</w:t>
      </w:r>
    </w:p>
    <w:p w14:paraId="04EF2E80" w14:textId="2B140AA6" w:rsidR="00C02DC4" w:rsidRDefault="008C2190" w:rsidP="00AD3CD1">
      <w:pPr>
        <w:pStyle w:val="BodyText"/>
      </w:pPr>
      <w:r>
        <w:t>Thus, with or without full dollar-for</w:t>
      </w:r>
      <w:r w:rsidR="00615E57">
        <w:t xml:space="preserve">-dollar </w:t>
      </w:r>
      <w:r w:rsidR="00300870">
        <w:t xml:space="preserve">foreign </w:t>
      </w:r>
      <w:r>
        <w:t>tax credits</w:t>
      </w:r>
      <w:r w:rsidR="00615E57">
        <w:t xml:space="preserve">, there will be inevitable disparities between similarly situated taxpayers.  </w:t>
      </w:r>
      <w:r w:rsidR="00652B3F">
        <w:t>The</w:t>
      </w:r>
      <w:r w:rsidR="003F5DED">
        <w:t xml:space="preserve">re are sound policy arguments for imposing the same overall tax burden on two taxpayers with the same net income, and there are sound policy </w:t>
      </w:r>
      <w:r w:rsidR="007E652A">
        <w:t>arguments for imposing the same obligation to fund local services on two taxpayers w</w:t>
      </w:r>
      <w:r w:rsidR="00460189">
        <w:t xml:space="preserve">ith the same net income.  But there is no sound argument for </w:t>
      </w:r>
      <w:r w:rsidR="00F70148">
        <w:t xml:space="preserve">constitutionalizing the issue and </w:t>
      </w:r>
      <w:r w:rsidR="00460189">
        <w:t>taking this policy judgment away from state and local l</w:t>
      </w:r>
      <w:r w:rsidR="00F70148">
        <w:t>awmakers.</w:t>
      </w:r>
      <w:r>
        <w:t xml:space="preserve"> </w:t>
      </w:r>
      <w:r w:rsidR="00C85D65">
        <w:t xml:space="preserve">  </w:t>
      </w:r>
    </w:p>
    <w:p w14:paraId="2C3E0FFE" w14:textId="2AEFC67D" w:rsidR="0040402C" w:rsidRDefault="0023289C" w:rsidP="00CB6D68">
      <w:pPr>
        <w:pStyle w:val="BodyText"/>
      </w:pPr>
      <w:r>
        <w:t>Second, i</w:t>
      </w:r>
      <w:r w:rsidR="00F822F8" w:rsidRPr="002757B9">
        <w:t xml:space="preserve">t is no accident that the taxpayers who demanded credits </w:t>
      </w:r>
      <w:r w:rsidR="00340A43">
        <w:t xml:space="preserve">here </w:t>
      </w:r>
      <w:r w:rsidR="00F822F8" w:rsidRPr="002757B9">
        <w:t>reported a high incom</w:t>
      </w:r>
      <w:r w:rsidR="00386036" w:rsidRPr="002757B9">
        <w:t>e</w:t>
      </w:r>
      <w:r w:rsidR="00386036">
        <w:t xml:space="preserve">.  </w:t>
      </w:r>
      <w:r w:rsidR="00E46120">
        <w:t xml:space="preserve">Non-refundable </w:t>
      </w:r>
      <w:r w:rsidR="00F822F8" w:rsidRPr="002757B9">
        <w:t xml:space="preserve">tax credits are </w:t>
      </w:r>
      <w:r w:rsidR="00E46120">
        <w:t xml:space="preserve">generally </w:t>
      </w:r>
      <w:r w:rsidR="00E544BB">
        <w:t xml:space="preserve">regressive </w:t>
      </w:r>
      <w:r w:rsidR="00F822F8" w:rsidRPr="002757B9">
        <w:t xml:space="preserve">because </w:t>
      </w:r>
      <w:r w:rsidR="00F822F8">
        <w:t xml:space="preserve">they </w:t>
      </w:r>
      <w:r w:rsidR="00F822F8" w:rsidRPr="002757B9">
        <w:t xml:space="preserve">are valuable only </w:t>
      </w:r>
      <w:r w:rsidR="001703ED">
        <w:t xml:space="preserve">to the extent </w:t>
      </w:r>
      <w:r w:rsidR="00F822F8" w:rsidRPr="002757B9">
        <w:t xml:space="preserve">a person has </w:t>
      </w:r>
      <w:r w:rsidR="00E544BB">
        <w:t>tax liabilities</w:t>
      </w:r>
      <w:r w:rsidR="00F822F8" w:rsidRPr="002757B9">
        <w:t xml:space="preserve"> </w:t>
      </w:r>
      <w:r w:rsidR="00F822F8">
        <w:t xml:space="preserve">to </w:t>
      </w:r>
      <w:r w:rsidR="00F822F8" w:rsidRPr="002757B9">
        <w:t xml:space="preserve">offset, </w:t>
      </w:r>
      <w:r w:rsidR="00A50E98">
        <w:t xml:space="preserve">and </w:t>
      </w:r>
      <w:r w:rsidR="00F822F8" w:rsidRPr="002757B9">
        <w:t xml:space="preserve">many people who </w:t>
      </w:r>
      <w:r w:rsidR="00116CE4">
        <w:t xml:space="preserve">have foreign income </w:t>
      </w:r>
      <w:r w:rsidR="00F822F8" w:rsidRPr="002757B9">
        <w:t>(</w:t>
      </w:r>
      <w:r w:rsidR="009E18E8">
        <w:t xml:space="preserve">particularly </w:t>
      </w:r>
      <w:r w:rsidR="00F822F8" w:rsidRPr="002757B9">
        <w:t>through investments) have relatively high income</w:t>
      </w:r>
      <w:r w:rsidR="00386036" w:rsidRPr="002757B9">
        <w:t>s</w:t>
      </w:r>
      <w:r w:rsidR="00386036">
        <w:t xml:space="preserve">.  </w:t>
      </w:r>
      <w:r w:rsidR="00871B91">
        <w:rPr>
          <w:i/>
        </w:rPr>
        <w:t>See</w:t>
      </w:r>
      <w:r w:rsidR="00F822F8" w:rsidRPr="002757B9">
        <w:t xml:space="preserve"> </w:t>
      </w:r>
      <w:r w:rsidR="00F822F8" w:rsidRPr="002757B9">
        <w:lastRenderedPageBreak/>
        <w:t xml:space="preserve">Robertson Williams, </w:t>
      </w:r>
      <w:r w:rsidR="00F822F8" w:rsidRPr="002757B9">
        <w:rPr>
          <w:i/>
          <w:iCs/>
        </w:rPr>
        <w:t>How Some High-Income People Avoid Paying Federal Income Tax</w:t>
      </w:r>
      <w:r w:rsidR="00F822F8" w:rsidRPr="002757B9">
        <w:t xml:space="preserve">, Forbes, Sept. 05, 2013, </w:t>
      </w:r>
      <w:hyperlink r:id="rId21" w:history="1">
        <w:r w:rsidR="00F822F8" w:rsidRPr="002757B9">
          <w:rPr>
            <w:rStyle w:val="Hyperlink"/>
          </w:rPr>
          <w:t>http://www.forbes.com/sites/beltway/2013/09/05/how-some-high-income-people-avoid-paying-federal-income-tax</w:t>
        </w:r>
      </w:hyperlink>
      <w:r w:rsidR="00F822F8" w:rsidRPr="002757B9">
        <w:t xml:space="preserve"> (</w:t>
      </w:r>
      <w:r w:rsidR="001703ED">
        <w:t xml:space="preserve">in 2010 </w:t>
      </w:r>
      <w:r w:rsidR="00F822F8" w:rsidRPr="002757B9">
        <w:t>thousands of taxpayers earning over $200,000 used the federal foreign tax credit to avoid all federal income tax liability).</w:t>
      </w:r>
    </w:p>
    <w:p w14:paraId="6718545E" w14:textId="64F7A5C7" w:rsidR="00F822F8" w:rsidRDefault="0040402C" w:rsidP="00116CE4">
      <w:pPr>
        <w:pStyle w:val="BodyText"/>
      </w:pPr>
      <w:r>
        <w:t xml:space="preserve">The possibility of high-earning taxpayers offsetting substantial parts of their </w:t>
      </w:r>
      <w:r w:rsidR="002F2F3B">
        <w:t xml:space="preserve">state and local </w:t>
      </w:r>
      <w:r>
        <w:t xml:space="preserve">income tax burden means that they may pay less </w:t>
      </w:r>
      <w:r w:rsidR="00316E53">
        <w:t xml:space="preserve">to support valuable </w:t>
      </w:r>
      <w:r w:rsidR="00E46120">
        <w:t xml:space="preserve">state and local </w:t>
      </w:r>
      <w:r w:rsidR="00316E53">
        <w:t xml:space="preserve">public services </w:t>
      </w:r>
      <w:r>
        <w:t>than</w:t>
      </w:r>
      <w:r w:rsidR="00F51BAD">
        <w:t xml:space="preserve"> not just their similarly-situated neighbors, but</w:t>
      </w:r>
      <w:r>
        <w:t xml:space="preserve"> </w:t>
      </w:r>
      <w:r w:rsidR="00E46120">
        <w:t xml:space="preserve">their neighbors </w:t>
      </w:r>
      <w:r>
        <w:t xml:space="preserve">who are </w:t>
      </w:r>
      <w:r w:rsidR="001B46C5">
        <w:t>considerab</w:t>
      </w:r>
      <w:r w:rsidR="002B4817">
        <w:t xml:space="preserve">ly </w:t>
      </w:r>
      <w:r>
        <w:t xml:space="preserve">less fortunate.  </w:t>
      </w:r>
      <w:r w:rsidR="00F822F8" w:rsidRPr="006E4FED">
        <w:t xml:space="preserve">To take an extreme example, if Respondents had earned $2.7 million </w:t>
      </w:r>
      <w:r w:rsidR="00316E53">
        <w:t xml:space="preserve">in </w:t>
      </w:r>
      <w:r w:rsidR="00F822F8">
        <w:t xml:space="preserve">states or localities </w:t>
      </w:r>
      <w:r w:rsidR="00116CE4">
        <w:t xml:space="preserve">that taxed Maryland residents’ income at </w:t>
      </w:r>
      <w:r w:rsidR="00F822F8">
        <w:t xml:space="preserve">7.95% or higher, they </w:t>
      </w:r>
      <w:r w:rsidR="00F822F8" w:rsidRPr="006E4FED">
        <w:t xml:space="preserve">could </w:t>
      </w:r>
      <w:r w:rsidR="00316E53">
        <w:t xml:space="preserve">potentially </w:t>
      </w:r>
      <w:r w:rsidR="00CB6966">
        <w:t xml:space="preserve">zero out their state and local tax liability—yet </w:t>
      </w:r>
      <w:r w:rsidR="00F822F8" w:rsidRPr="006E4FED">
        <w:t>another Howard County resident ea</w:t>
      </w:r>
      <w:r w:rsidR="00F822F8">
        <w:t xml:space="preserve">rning only $27,000 in Maryland or </w:t>
      </w:r>
      <w:r w:rsidR="0069582F">
        <w:t xml:space="preserve">jurisdictions that do not tax </w:t>
      </w:r>
      <w:r w:rsidR="00116CE4">
        <w:t xml:space="preserve">Maryland residents’ </w:t>
      </w:r>
      <w:r w:rsidR="0069582F">
        <w:t xml:space="preserve">income </w:t>
      </w:r>
      <w:r w:rsidR="00F822F8" w:rsidRPr="006E4FED">
        <w:t xml:space="preserve">would pay </w:t>
      </w:r>
      <w:r w:rsidR="00F822F8">
        <w:t>$1231 to the state</w:t>
      </w:r>
      <w:r w:rsidR="00F822F8" w:rsidRPr="006E4FED">
        <w:t xml:space="preserve"> and $864 to the count</w:t>
      </w:r>
      <w:r w:rsidR="00386036" w:rsidRPr="006E4FED">
        <w:t>y</w:t>
      </w:r>
      <w:r w:rsidR="00386036">
        <w:t xml:space="preserve">.  </w:t>
      </w:r>
      <w:r w:rsidR="00386036" w:rsidRPr="006E4FED">
        <w:t>S</w:t>
      </w:r>
      <w:r w:rsidR="00F822F8" w:rsidRPr="006E4FED">
        <w:t xml:space="preserve">ee 2006 Maryland Tax Table at 19, </w:t>
      </w:r>
      <w:hyperlink r:id="rId22" w:history="1">
        <w:r w:rsidR="00F822F8" w:rsidRPr="00526293">
          <w:rPr>
            <w:rStyle w:val="Hyperlink"/>
          </w:rPr>
          <w:t>http://forms.marylandtaxes.com/06_forms/residentbook.pdf</w:t>
        </w:r>
      </w:hyperlink>
      <w:r w:rsidR="00F822F8" w:rsidRPr="006E4FED">
        <w:t>.</w:t>
      </w:r>
      <w:r w:rsidR="00F822F8">
        <w:t xml:space="preserve"> </w:t>
      </w:r>
      <w:r w:rsidR="00E9466F">
        <w:t xml:space="preserve"> </w:t>
      </w:r>
      <w:r w:rsidR="00F822F8" w:rsidRPr="006E4FED">
        <w:t xml:space="preserve">The person living paycheck-to-paycheck thus would be cross-subsidizing the wealthy family’s </w:t>
      </w:r>
      <w:r w:rsidR="00650A2D">
        <w:t xml:space="preserve">enjoyment </w:t>
      </w:r>
      <w:r w:rsidR="00F822F8" w:rsidRPr="006E4FED">
        <w:t xml:space="preserve">of </w:t>
      </w:r>
      <w:r w:rsidR="0088062D">
        <w:t xml:space="preserve">important </w:t>
      </w:r>
      <w:r w:rsidR="00F822F8">
        <w:t xml:space="preserve">state and local </w:t>
      </w:r>
      <w:r w:rsidR="00F822F8" w:rsidRPr="006E4FED">
        <w:t>services</w:t>
      </w:r>
      <w:r w:rsidR="00D00EA5">
        <w:t>.  The Constit</w:t>
      </w:r>
      <w:r w:rsidR="00C9313A">
        <w:t xml:space="preserve">ution </w:t>
      </w:r>
      <w:r w:rsidR="00745701">
        <w:t xml:space="preserve">surely </w:t>
      </w:r>
      <w:r w:rsidR="00C9313A">
        <w:t xml:space="preserve">does not </w:t>
      </w:r>
      <w:r w:rsidR="001C2914">
        <w:t>force that policy choice on States and localities</w:t>
      </w:r>
      <w:r w:rsidR="00D00EA5">
        <w:t>.</w:t>
      </w:r>
      <w:r w:rsidR="00A24F5C">
        <w:t xml:space="preserve">  </w:t>
      </w:r>
    </w:p>
    <w:p w14:paraId="5EA58666" w14:textId="0C80C782" w:rsidR="00E13DF3" w:rsidRDefault="0023289C" w:rsidP="00992DEE">
      <w:pPr>
        <w:pStyle w:val="BodyText"/>
      </w:pPr>
      <w:r>
        <w:t>Third</w:t>
      </w:r>
      <w:r w:rsidR="00724239">
        <w:t xml:space="preserve">, </w:t>
      </w:r>
      <w:r w:rsidR="00E544BB">
        <w:t xml:space="preserve">to counteract the foregone </w:t>
      </w:r>
      <w:r w:rsidR="006A258F">
        <w:t xml:space="preserve">revenue </w:t>
      </w:r>
      <w:r w:rsidR="00E544BB">
        <w:t xml:space="preserve">of </w:t>
      </w:r>
      <w:r w:rsidR="00E61173">
        <w:t xml:space="preserve">a dollar-for-dollar </w:t>
      </w:r>
      <w:r w:rsidR="00116CE4">
        <w:t xml:space="preserve">foreign tax </w:t>
      </w:r>
      <w:r w:rsidR="00E61173">
        <w:t>credit, a state</w:t>
      </w:r>
      <w:r w:rsidR="006A258F">
        <w:t xml:space="preserve"> </w:t>
      </w:r>
      <w:r w:rsidR="00E544BB">
        <w:t xml:space="preserve">or locality </w:t>
      </w:r>
      <w:r w:rsidR="006A258F">
        <w:t xml:space="preserve">would need to </w:t>
      </w:r>
      <w:r w:rsidR="00E544BB">
        <w:t xml:space="preserve">raise </w:t>
      </w:r>
      <w:r w:rsidR="00CE21A3">
        <w:t>other taxes</w:t>
      </w:r>
      <w:r w:rsidR="00E61173">
        <w:t xml:space="preserve">. </w:t>
      </w:r>
      <w:r w:rsidR="00E544BB">
        <w:t xml:space="preserve"> </w:t>
      </w:r>
      <w:r w:rsidR="00E13DF3">
        <w:t>Indeed</w:t>
      </w:r>
      <w:r w:rsidR="00ED76DD">
        <w:t>, e</w:t>
      </w:r>
      <w:r w:rsidR="00CE21A3">
        <w:t xml:space="preserve">xtending </w:t>
      </w:r>
      <w:r w:rsidR="00992DEE">
        <w:t>a</w:t>
      </w:r>
      <w:r w:rsidR="00CE21A3">
        <w:t xml:space="preserve"> full tax credit to </w:t>
      </w:r>
      <w:r w:rsidR="00992DEE">
        <w:t>Respondents alone c</w:t>
      </w:r>
      <w:r w:rsidR="00F92554">
        <w:t xml:space="preserve">ould cost </w:t>
      </w:r>
      <w:r w:rsidR="007301C9">
        <w:lastRenderedPageBreak/>
        <w:t xml:space="preserve">Howard County </w:t>
      </w:r>
      <w:r w:rsidR="00992DEE">
        <w:t>tens of thousands of dollars</w:t>
      </w:r>
      <w:r w:rsidR="009524CB">
        <w:t>,</w:t>
      </w:r>
      <w:r w:rsidR="0087779D">
        <w:t xml:space="preserve"> </w:t>
      </w:r>
      <w:r w:rsidR="009524CB">
        <w:rPr>
          <w:i/>
        </w:rPr>
        <w:t>s</w:t>
      </w:r>
      <w:r w:rsidR="009524CB" w:rsidRPr="009524CB">
        <w:rPr>
          <w:i/>
        </w:rPr>
        <w:t>ee</w:t>
      </w:r>
      <w:r w:rsidR="009524CB">
        <w:t xml:space="preserve"> </w:t>
      </w:r>
      <w:r w:rsidR="007301C9">
        <w:t>Pet. App. 56</w:t>
      </w:r>
      <w:r w:rsidR="009524CB">
        <w:t xml:space="preserve">, and the net effect could </w:t>
      </w:r>
      <w:r w:rsidR="009524CB" w:rsidRPr="009524CB">
        <w:t xml:space="preserve">reduce overall personal income tax collections </w:t>
      </w:r>
      <w:r w:rsidR="009524CB">
        <w:t>“</w:t>
      </w:r>
      <w:r w:rsidR="009524CB" w:rsidRPr="009524CB">
        <w:t>by</w:t>
      </w:r>
      <w:r w:rsidR="009524CB">
        <w:t xml:space="preserve"> </w:t>
      </w:r>
      <w:r w:rsidR="009524CB" w:rsidRPr="009524CB">
        <w:t>$45,000,000 to $50,000,000 annually in future tax</w:t>
      </w:r>
      <w:r w:rsidR="009524CB">
        <w:t xml:space="preserve"> </w:t>
      </w:r>
      <w:r w:rsidR="009524CB" w:rsidRPr="009524CB">
        <w:t>years.</w:t>
      </w:r>
      <w:r w:rsidR="009524CB">
        <w:t xml:space="preserve">”  </w:t>
      </w:r>
      <w:proofErr w:type="gramStart"/>
      <w:r w:rsidR="009524CB">
        <w:t>Pet. 15.</w:t>
      </w:r>
      <w:proofErr w:type="gramEnd"/>
      <w:r w:rsidR="009524CB">
        <w:t xml:space="preserve">  </w:t>
      </w:r>
      <w:r w:rsidR="0087779D">
        <w:t>That lost revenue would need to be made up for with other</w:t>
      </w:r>
      <w:r w:rsidR="00E13DF3">
        <w:t xml:space="preserve"> taxes, which </w:t>
      </w:r>
      <w:r w:rsidR="00745701">
        <w:t xml:space="preserve">tend to be </w:t>
      </w:r>
      <w:r w:rsidR="0087779D">
        <w:t>re</w:t>
      </w:r>
      <w:r w:rsidR="00ED76DD">
        <w:t xml:space="preserve">gressive.  </w:t>
      </w:r>
      <w:r w:rsidR="00F46AA3" w:rsidRPr="00F46AA3">
        <w:rPr>
          <w:i/>
        </w:rPr>
        <w:t>See</w:t>
      </w:r>
      <w:r w:rsidR="00F46AA3">
        <w:t xml:space="preserve"> Distributional Analysis at 1.  </w:t>
      </w:r>
      <w:r w:rsidR="00E13DF3">
        <w:t xml:space="preserve">For example, Respondents suggest </w:t>
      </w:r>
      <w:r w:rsidR="00ED76DD">
        <w:t xml:space="preserve">that the State </w:t>
      </w:r>
      <w:r w:rsidR="00E13DF3">
        <w:t xml:space="preserve">could </w:t>
      </w:r>
      <w:r w:rsidR="00ED76DD">
        <w:t>“</w:t>
      </w:r>
      <w:proofErr w:type="spellStart"/>
      <w:r w:rsidR="00ED76DD">
        <w:t>increas</w:t>
      </w:r>
      <w:proofErr w:type="spellEnd"/>
      <w:r w:rsidR="00ED76DD">
        <w:t>[e] sales or property taxes” or to “[r]</w:t>
      </w:r>
      <w:proofErr w:type="spellStart"/>
      <w:r w:rsidR="00ED76DD">
        <w:t>aise</w:t>
      </w:r>
      <w:proofErr w:type="spellEnd"/>
      <w:r w:rsidR="00ED76DD">
        <w:t xml:space="preserve"> </w:t>
      </w:r>
      <w:r w:rsidR="00E13DF3">
        <w:t>all residents’ county tax rates</w:t>
      </w:r>
      <w:r w:rsidR="00ED76DD">
        <w:t>.</w:t>
      </w:r>
      <w:r w:rsidR="00E13DF3">
        <w:t>”</w:t>
      </w:r>
      <w:r w:rsidR="00ED76DD">
        <w:t xml:space="preserve"> </w:t>
      </w:r>
      <w:r w:rsidR="00E13DF3">
        <w:t xml:space="preserve"> </w:t>
      </w:r>
      <w:proofErr w:type="gramStart"/>
      <w:r w:rsidR="00E13DF3">
        <w:t>Opp. 23.</w:t>
      </w:r>
      <w:proofErr w:type="gramEnd"/>
      <w:r w:rsidR="00E13DF3">
        <w:t xml:space="preserve">  But increasing property taxes would likely be “somewhat regressive,” as “poor homeowners and renters pay more of their incomes in property taxes than do any other income group—and the wealthiest taxpayers pay the least.”  </w:t>
      </w:r>
      <w:proofErr w:type="gramStart"/>
      <w:r w:rsidR="008F5729">
        <w:t>Distributional Analysis at 3.</w:t>
      </w:r>
      <w:proofErr w:type="gramEnd"/>
      <w:r w:rsidR="008F5729">
        <w:t xml:space="preserve">  </w:t>
      </w:r>
      <w:r w:rsidR="00E13DF3">
        <w:t>And increasing sales or excise taxes would be “very regressive,” as “[p]</w:t>
      </w:r>
      <w:proofErr w:type="spellStart"/>
      <w:r w:rsidR="00E13DF3">
        <w:t>oor</w:t>
      </w:r>
      <w:proofErr w:type="spellEnd"/>
      <w:r w:rsidR="00E13DF3">
        <w:t xml:space="preserve"> families pay almost eight times more of their incomes in these taxes than the best-off families, and middle-income families pay more than four times the rate of the wealthy.”  </w:t>
      </w:r>
      <w:r w:rsidR="00E13DF3" w:rsidRPr="00752730">
        <w:rPr>
          <w:i/>
        </w:rPr>
        <w:t>Id</w:t>
      </w:r>
      <w:r w:rsidR="00E13DF3">
        <w:t xml:space="preserve">.  </w:t>
      </w:r>
    </w:p>
    <w:p w14:paraId="09175D6D" w14:textId="37676664" w:rsidR="00E13DF3" w:rsidRDefault="00ED76DD" w:rsidP="00E544BB">
      <w:pPr>
        <w:pStyle w:val="BodyText"/>
      </w:pPr>
      <w:r>
        <w:t xml:space="preserve"> </w:t>
      </w:r>
      <w:r w:rsidR="00101432">
        <w:t>It is</w:t>
      </w:r>
      <w:r w:rsidR="000F7621">
        <w:t xml:space="preserve"> </w:t>
      </w:r>
      <w:r w:rsidR="00101432">
        <w:t xml:space="preserve">one thing for a jurisdiction to </w:t>
      </w:r>
      <w:r w:rsidR="00E13DF3">
        <w:t xml:space="preserve">provide a full </w:t>
      </w:r>
      <w:r w:rsidR="000F7621">
        <w:t xml:space="preserve">foreign </w:t>
      </w:r>
      <w:r w:rsidR="00E13DF3">
        <w:t xml:space="preserve">tax credit </w:t>
      </w:r>
      <w:r w:rsidR="00101432">
        <w:t xml:space="preserve">based on policy views about avoiding double taxation or certain forms of perceived inequity.  It is quite another </w:t>
      </w:r>
      <w:r w:rsidR="000F7621">
        <w:t xml:space="preserve">for courts to </w:t>
      </w:r>
      <w:r w:rsidR="00FD0362">
        <w:t xml:space="preserve">force that policy judgment on States and localities.  </w:t>
      </w:r>
      <w:r w:rsidR="00E13DF3">
        <w:t>Indeed, c</w:t>
      </w:r>
      <w:r w:rsidR="00C65C0E">
        <w:t xml:space="preserve">onstitutionally compelling </w:t>
      </w:r>
      <w:r w:rsidR="00FD0362">
        <w:t xml:space="preserve">such a full tax credit </w:t>
      </w:r>
      <w:r w:rsidR="002356F2">
        <w:t>would countermand</w:t>
      </w:r>
      <w:r w:rsidR="00724239">
        <w:t xml:space="preserve"> no</w:t>
      </w:r>
      <w:r w:rsidR="002356F2">
        <w:t xml:space="preserve">t just </w:t>
      </w:r>
      <w:r w:rsidR="000F7621">
        <w:t xml:space="preserve">the </w:t>
      </w:r>
      <w:r w:rsidR="00724239">
        <w:t>democratic</w:t>
      </w:r>
      <w:r w:rsidR="002356F2">
        <w:t xml:space="preserve">ally-arrived policy judgment not to extend a full </w:t>
      </w:r>
      <w:r w:rsidR="000F7621">
        <w:t xml:space="preserve">foreign tax </w:t>
      </w:r>
      <w:r w:rsidR="002356F2">
        <w:t xml:space="preserve">credit, but </w:t>
      </w:r>
      <w:r w:rsidR="00E13DF3" w:rsidRPr="00E13DF3">
        <w:t>also</w:t>
      </w:r>
      <w:r w:rsidR="00E13DF3">
        <w:t xml:space="preserve"> </w:t>
      </w:r>
      <w:r w:rsidR="002356F2">
        <w:t>many other judgments as well.</w:t>
      </w:r>
      <w:r w:rsidR="00724239">
        <w:t xml:space="preserve">  Respondents would not only pay </w:t>
      </w:r>
      <w:r w:rsidR="00724239" w:rsidRPr="00C85D65">
        <w:t>less</w:t>
      </w:r>
      <w:r w:rsidR="002A7FB4">
        <w:t xml:space="preserve"> </w:t>
      </w:r>
      <w:r w:rsidR="00844FCA">
        <w:t>to support their local government</w:t>
      </w:r>
      <w:r w:rsidR="00724239">
        <w:t xml:space="preserve">, but other residents would have to pay </w:t>
      </w:r>
      <w:r w:rsidR="00724239" w:rsidRPr="00724239">
        <w:rPr>
          <w:i/>
        </w:rPr>
        <w:t>more</w:t>
      </w:r>
      <w:r w:rsidR="00844FCA">
        <w:t>—</w:t>
      </w:r>
      <w:r w:rsidR="00724239">
        <w:t xml:space="preserve">and those </w:t>
      </w:r>
      <w:r w:rsidR="002A7FB4">
        <w:t xml:space="preserve">additional </w:t>
      </w:r>
      <w:r w:rsidR="00724239">
        <w:t xml:space="preserve">taxes would be imposed in ways that state </w:t>
      </w:r>
      <w:r w:rsidR="00724239">
        <w:lastRenderedPageBreak/>
        <w:t>and local elected officials determined were undesirable.</w:t>
      </w:r>
    </w:p>
    <w:p w14:paraId="08CD8030" w14:textId="7A4512FE" w:rsidR="00F63364" w:rsidRDefault="00F63364" w:rsidP="00F63364">
      <w:pPr>
        <w:pStyle w:val="Heading3"/>
      </w:pPr>
      <w:bookmarkStart w:id="12" w:name="_Toc393794316"/>
      <w:r>
        <w:t xml:space="preserve">Providing </w:t>
      </w:r>
      <w:r>
        <w:rPr>
          <w:lang w:val="en-US"/>
        </w:rPr>
        <w:t xml:space="preserve">A Partial </w:t>
      </w:r>
      <w:r w:rsidR="00C94F65">
        <w:rPr>
          <w:lang w:val="en-US"/>
        </w:rPr>
        <w:t xml:space="preserve">Foreign Income </w:t>
      </w:r>
      <w:r>
        <w:t xml:space="preserve">Tax Credit Is A Rational and Fair </w:t>
      </w:r>
      <w:r>
        <w:rPr>
          <w:lang w:val="en-US"/>
        </w:rPr>
        <w:t>Response To This Difficult Policy Problem</w:t>
      </w:r>
      <w:bookmarkEnd w:id="12"/>
    </w:p>
    <w:p w14:paraId="1E868933" w14:textId="1B953248" w:rsidR="00E61F53" w:rsidRDefault="00253B6E" w:rsidP="001E0B75">
      <w:pPr>
        <w:pStyle w:val="BodyText"/>
      </w:pPr>
      <w:r w:rsidRPr="006D0EAF">
        <w:t xml:space="preserve">Faced with </w:t>
      </w:r>
      <w:r w:rsidR="001703ED">
        <w:t xml:space="preserve">policy tradeoffs </w:t>
      </w:r>
      <w:r w:rsidRPr="006D0EAF">
        <w:t xml:space="preserve">either way, it is rational for a state or local government to </w:t>
      </w:r>
      <w:r w:rsidR="00D47F1E">
        <w:t xml:space="preserve">resolve the competing equitable claims </w:t>
      </w:r>
      <w:r w:rsidR="002C2842">
        <w:t xml:space="preserve">by </w:t>
      </w:r>
      <w:r w:rsidR="006D58E3">
        <w:t xml:space="preserve">declining to provide a </w:t>
      </w:r>
      <w:r w:rsidR="00992DEE">
        <w:t>foreign income tax credit</w:t>
      </w:r>
      <w:r w:rsidR="007E5835">
        <w:t xml:space="preserve"> </w:t>
      </w:r>
      <w:r w:rsidR="006D58E3">
        <w:t xml:space="preserve">and </w:t>
      </w:r>
      <w:r w:rsidR="00992DEE">
        <w:t xml:space="preserve">thus </w:t>
      </w:r>
      <w:r w:rsidR="00561262">
        <w:t>ensuring that two local taxpayers with the same income make the same contribution to local government services</w:t>
      </w:r>
      <w:r w:rsidR="00386036">
        <w:t xml:space="preserve">.  </w:t>
      </w:r>
      <w:r w:rsidR="001703ED">
        <w:t>I</w:t>
      </w:r>
      <w:r w:rsidRPr="006D0EAF">
        <w:t xml:space="preserve">t </w:t>
      </w:r>
      <w:r w:rsidR="00E544BB">
        <w:t xml:space="preserve">is </w:t>
      </w:r>
      <w:r w:rsidRPr="006D0EAF">
        <w:t xml:space="preserve">also rational for a state or local government to give a one-to-one credit and thus prevent </w:t>
      </w:r>
      <w:r w:rsidR="001E0B75">
        <w:t xml:space="preserve">its residents from having a higher overall tax burden if they happen to earn income </w:t>
      </w:r>
      <w:r w:rsidR="00B810DB">
        <w:t xml:space="preserve">that is taxed by other jurisdictions, </w:t>
      </w:r>
      <w:r w:rsidR="000B7714">
        <w:t xml:space="preserve">and to make a policy decision about where best to raise the lost revenue.  </w:t>
      </w:r>
      <w:r w:rsidR="00CD7B89">
        <w:t>It would be equally rational to provide a partial credit, a credit that is phased out at certain income thresholds, a deduction</w:t>
      </w:r>
      <w:r w:rsidR="00E544BB">
        <w:t>,</w:t>
      </w:r>
      <w:r w:rsidR="00CD7B89">
        <w:t xml:space="preserve"> or any number of other approaches.  </w:t>
      </w:r>
      <w:r w:rsidR="00386036" w:rsidRPr="006D0EAF">
        <w:t>M</w:t>
      </w:r>
      <w:r w:rsidR="001A0D86">
        <w:t>aryland, for its part,</w:t>
      </w:r>
      <w:r w:rsidRPr="006D0EAF">
        <w:t xml:space="preserve"> chose </w:t>
      </w:r>
      <w:r w:rsidR="001703ED">
        <w:t>a</w:t>
      </w:r>
      <w:r w:rsidR="001A0D86">
        <w:t xml:space="preserve">nother </w:t>
      </w:r>
      <w:r w:rsidR="001703ED">
        <w:t xml:space="preserve">rational </w:t>
      </w:r>
      <w:r w:rsidRPr="006D0EAF">
        <w:t>compromise</w:t>
      </w:r>
      <w:r w:rsidR="00856ABF">
        <w:t xml:space="preserve">.  Maryland gives </w:t>
      </w:r>
      <w:r w:rsidRPr="006D0EAF">
        <w:t xml:space="preserve">a </w:t>
      </w:r>
      <w:r w:rsidR="00856ABF">
        <w:t xml:space="preserve">full </w:t>
      </w:r>
      <w:r w:rsidRPr="006D0EAF">
        <w:t xml:space="preserve">credit against the </w:t>
      </w:r>
      <w:r w:rsidR="00C936B8">
        <w:t xml:space="preserve">larger </w:t>
      </w:r>
      <w:r w:rsidRPr="006D0EAF">
        <w:t xml:space="preserve">state portion of the income tax </w:t>
      </w:r>
      <w:r w:rsidR="00856ABF">
        <w:t xml:space="preserve">(here, a 4.75% marginal rate) </w:t>
      </w:r>
      <w:r w:rsidRPr="006D0EAF">
        <w:t xml:space="preserve">but not the </w:t>
      </w:r>
      <w:r w:rsidR="00C936B8">
        <w:t xml:space="preserve">smaller </w:t>
      </w:r>
      <w:r w:rsidRPr="006D0EAF">
        <w:t>county portion</w:t>
      </w:r>
      <w:r w:rsidR="00856ABF">
        <w:t xml:space="preserve"> (here, 3.2%).</w:t>
      </w:r>
      <w:r w:rsidRPr="006D0EAF">
        <w:t xml:space="preserve"> </w:t>
      </w:r>
      <w:r w:rsidR="00856ABF">
        <w:t xml:space="preserve"> Maryland thus </w:t>
      </w:r>
      <w:r w:rsidR="00856ABF" w:rsidRPr="00856ABF">
        <w:t xml:space="preserve">protects </w:t>
      </w:r>
      <w:r w:rsidR="00ED0410">
        <w:t xml:space="preserve">its residents from </w:t>
      </w:r>
      <w:r w:rsidR="00856ABF" w:rsidRPr="00856ABF">
        <w:t xml:space="preserve">at least 60% </w:t>
      </w:r>
      <w:r w:rsidR="00856ABF">
        <w:t xml:space="preserve">of </w:t>
      </w:r>
      <w:r w:rsidR="00B810DB">
        <w:t xml:space="preserve">any </w:t>
      </w:r>
      <w:r w:rsidR="00856ABF">
        <w:t xml:space="preserve">foreign </w:t>
      </w:r>
      <w:r w:rsidR="00B810DB">
        <w:t xml:space="preserve">income </w:t>
      </w:r>
      <w:r w:rsidR="00856ABF">
        <w:t xml:space="preserve">tax </w:t>
      </w:r>
      <w:r w:rsidR="00B810DB">
        <w:t>they pay</w:t>
      </w:r>
      <w:r w:rsidR="00992DEE">
        <w:t>,</w:t>
      </w:r>
      <w:r w:rsidR="00B810DB">
        <w:t xml:space="preserve"> </w:t>
      </w:r>
      <w:r w:rsidR="00856ABF">
        <w:t>and perhaps more de</w:t>
      </w:r>
      <w:r w:rsidR="00B810DB">
        <w:t>pending on the foreign tax rate.</w:t>
      </w:r>
      <w:r w:rsidR="00856ABF">
        <w:t xml:space="preserve"> </w:t>
      </w:r>
      <w:r w:rsidR="00B810DB">
        <w:t xml:space="preserve"> B</w:t>
      </w:r>
      <w:r w:rsidR="00ED0410">
        <w:t xml:space="preserve">eyond that </w:t>
      </w:r>
      <w:r w:rsidR="00B810DB">
        <w:t xml:space="preserve">point, Maryland </w:t>
      </w:r>
      <w:r w:rsidR="00856ABF" w:rsidRPr="00856ABF">
        <w:t xml:space="preserve">requires residents to pay </w:t>
      </w:r>
      <w:r w:rsidR="00ED0410">
        <w:t xml:space="preserve">county income tax to support the </w:t>
      </w:r>
      <w:r w:rsidR="00856ABF" w:rsidRPr="00856ABF">
        <w:t>local services</w:t>
      </w:r>
      <w:r w:rsidR="00856ABF">
        <w:t xml:space="preserve"> they enjoy.  Maryland thus gains </w:t>
      </w:r>
      <w:r w:rsidRPr="006D0EAF">
        <w:t>some of the upsides (and some of t</w:t>
      </w:r>
      <w:r w:rsidR="00856ABF">
        <w:t>he downsides) of each approach.</w:t>
      </w:r>
    </w:p>
    <w:p w14:paraId="179221CB" w14:textId="0D411A50" w:rsidR="00B374D6" w:rsidRDefault="00253B6E" w:rsidP="000A17BD">
      <w:pPr>
        <w:pStyle w:val="BodyText"/>
      </w:pPr>
      <w:r>
        <w:lastRenderedPageBreak/>
        <w:t>M</w:t>
      </w:r>
      <w:r w:rsidRPr="009769C7">
        <w:t xml:space="preserve">any other state and local governments have made similar </w:t>
      </w:r>
      <w:r>
        <w:t>choice</w:t>
      </w:r>
      <w:r w:rsidR="00386036">
        <w:t>s</w:t>
      </w:r>
      <w:r w:rsidR="002A730A">
        <w:t xml:space="preserve"> to provide </w:t>
      </w:r>
      <w:r w:rsidR="000518C2">
        <w:t xml:space="preserve">residents </w:t>
      </w:r>
      <w:r w:rsidR="002D3107">
        <w:t xml:space="preserve">partial </w:t>
      </w:r>
      <w:r w:rsidR="000350AB">
        <w:t xml:space="preserve">credits </w:t>
      </w:r>
      <w:r w:rsidR="002A730A">
        <w:t xml:space="preserve">for </w:t>
      </w:r>
      <w:r w:rsidR="00B810DB">
        <w:t xml:space="preserve">foreign </w:t>
      </w:r>
      <w:r w:rsidR="002A730A">
        <w:t>income taxes paid</w:t>
      </w:r>
      <w:r w:rsidR="00355FB0">
        <w:t>.  F</w:t>
      </w:r>
      <w:r>
        <w:t xml:space="preserve">or example, </w:t>
      </w:r>
      <w:r w:rsidRPr="009769C7">
        <w:t xml:space="preserve">Wisconsin and North Carolina </w:t>
      </w:r>
      <w:r w:rsidR="00ED52A1">
        <w:t xml:space="preserve">provide credits for state-level </w:t>
      </w:r>
      <w:r w:rsidR="00B810DB">
        <w:t xml:space="preserve">foreign income </w:t>
      </w:r>
      <w:r w:rsidR="00ED52A1">
        <w:t xml:space="preserve">taxes but </w:t>
      </w:r>
      <w:r w:rsidRPr="009769C7">
        <w:t xml:space="preserve">disallow credits for city, county and local </w:t>
      </w:r>
      <w:r w:rsidR="00B810DB">
        <w:t xml:space="preserve">foreign </w:t>
      </w:r>
      <w:r w:rsidRPr="009769C7">
        <w:t>i</w:t>
      </w:r>
      <w:r>
        <w:t>ncome taxes.</w:t>
      </w:r>
      <w:r w:rsidR="00E61F53">
        <w:t xml:space="preserve">  </w:t>
      </w:r>
      <w:r w:rsidR="00E61F53" w:rsidRPr="00066574">
        <w:rPr>
          <w:i/>
        </w:rPr>
        <w:t>See</w:t>
      </w:r>
      <w:r w:rsidR="00E61F53">
        <w:t xml:space="preserve"> </w:t>
      </w:r>
      <w:r>
        <w:t>Wisc. Tax Code 2.955</w:t>
      </w:r>
      <w:r w:rsidR="00E61F53">
        <w:t xml:space="preserve">; </w:t>
      </w:r>
      <w:hyperlink r:id="rId23" w:history="1">
        <w:r w:rsidR="0003198F">
          <w:rPr>
            <w:rStyle w:val="Hyperlink"/>
          </w:rPr>
          <w:t>N.C Code § 105-151(a</w:t>
        </w:r>
        <w:proofErr w:type="gramStart"/>
        <w:r w:rsidR="0003198F">
          <w:rPr>
            <w:rStyle w:val="Hyperlink"/>
          </w:rPr>
          <w:t>)(</w:t>
        </w:r>
        <w:proofErr w:type="gramEnd"/>
        <w:r w:rsidR="0003198F">
          <w:rPr>
            <w:rStyle w:val="Hyperlink"/>
          </w:rPr>
          <w:t>1)</w:t>
        </w:r>
      </w:hyperlink>
      <w:r w:rsidRPr="009769C7">
        <w:t>.</w:t>
      </w:r>
      <w:r w:rsidR="00E61F53">
        <w:t xml:space="preserve"> </w:t>
      </w:r>
      <w:r w:rsidR="00ED52A1">
        <w:t xml:space="preserve"> </w:t>
      </w:r>
      <w:r w:rsidRPr="009769C7">
        <w:t xml:space="preserve">Tennessee </w:t>
      </w:r>
      <w:r w:rsidR="002D707D">
        <w:t xml:space="preserve">denies </w:t>
      </w:r>
      <w:r w:rsidRPr="009769C7">
        <w:t xml:space="preserve">a credit for income taxes paid </w:t>
      </w:r>
      <w:r w:rsidR="002D707D">
        <w:t xml:space="preserve">by a resident </w:t>
      </w:r>
      <w:r w:rsidRPr="009769C7">
        <w:t>Subchapter S income</w:t>
      </w:r>
      <w:r w:rsidR="0003198F">
        <w:t xml:space="preserve"> derived from states that do not have tax reciprocity with Tennessee</w:t>
      </w:r>
      <w:r w:rsidR="00386036">
        <w:t xml:space="preserve">.  </w:t>
      </w:r>
      <w:proofErr w:type="gramStart"/>
      <w:r w:rsidR="00386036" w:rsidRPr="009769C7">
        <w:rPr>
          <w:i/>
        </w:rPr>
        <w:t>B</w:t>
      </w:r>
      <w:r w:rsidRPr="009769C7">
        <w:rPr>
          <w:i/>
        </w:rPr>
        <w:t xml:space="preserve">oone v. </w:t>
      </w:r>
      <w:proofErr w:type="spellStart"/>
      <w:r w:rsidRPr="009769C7">
        <w:rPr>
          <w:i/>
        </w:rPr>
        <w:t>Chumley</w:t>
      </w:r>
      <w:proofErr w:type="spellEnd"/>
      <w:r w:rsidRPr="009769C7">
        <w:t>, 372 S.W.3d 104, 108-11 (Tenn. Ct. App. 2011).</w:t>
      </w:r>
      <w:proofErr w:type="gramEnd"/>
      <w:r w:rsidR="002D707D">
        <w:t xml:space="preserve">  </w:t>
      </w:r>
    </w:p>
    <w:p w14:paraId="2101B3F3" w14:textId="14B2E16C" w:rsidR="00923B7E" w:rsidRDefault="000A17BD" w:rsidP="00B374D6">
      <w:pPr>
        <w:pStyle w:val="BodyText"/>
      </w:pPr>
      <w:r>
        <w:t xml:space="preserve">Many municipal governments </w:t>
      </w:r>
      <w:r w:rsidR="00B374D6">
        <w:t xml:space="preserve">similarly impose taxes on residents’ net income without a full credit for taxes paid in other states.  </w:t>
      </w:r>
      <w:r w:rsidR="00253B6E">
        <w:t xml:space="preserve">For example, </w:t>
      </w:r>
      <w:r w:rsidR="00B374D6">
        <w:t xml:space="preserve">in New York State, two cities (New York City and Yonkers) impose an income tax.  </w:t>
      </w:r>
      <w:r w:rsidR="00B374D6" w:rsidRPr="00B374D6">
        <w:rPr>
          <w:i/>
        </w:rPr>
        <w:t>See</w:t>
      </w:r>
      <w:r w:rsidR="00B374D6">
        <w:t xml:space="preserve"> N.Y. Tax Law § 1301.  And although a credit is provided again</w:t>
      </w:r>
      <w:r w:rsidR="00611DDA">
        <w:t>st</w:t>
      </w:r>
      <w:r w:rsidR="00B374D6">
        <w:t xml:space="preserve"> the state-level income tax, no credit is provided against this municipal income tax.  </w:t>
      </w:r>
      <w:r w:rsidR="00B374D6" w:rsidRPr="00B374D6">
        <w:rPr>
          <w:i/>
        </w:rPr>
        <w:t>Compare</w:t>
      </w:r>
      <w:r w:rsidR="00B374D6">
        <w:t xml:space="preserve"> N.Y. Tax Law § 620, </w:t>
      </w:r>
      <w:r w:rsidR="00B374D6" w:rsidRPr="00B374D6">
        <w:rPr>
          <w:i/>
        </w:rPr>
        <w:t>with</w:t>
      </w:r>
      <w:r w:rsidR="00B374D6">
        <w:t xml:space="preserve"> N.Y. Tax Law § 1310.  Similarly, </w:t>
      </w:r>
      <w:r w:rsidR="00253B6E">
        <w:t>“[n]</w:t>
      </w:r>
      <w:r w:rsidR="00253B6E" w:rsidRPr="00DF3911">
        <w:t>on-residents of Pennsylvania cannot claim a tax credit against Philadelphia Earnings Tax for income taxes paid to any other state or political subdivisio</w:t>
      </w:r>
      <w:r w:rsidR="00386036" w:rsidRPr="00DF3911">
        <w:t>n</w:t>
      </w:r>
      <w:r w:rsidR="00386036">
        <w:t>.</w:t>
      </w:r>
      <w:r w:rsidR="00712E98">
        <w:t xml:space="preserve">  </w:t>
      </w:r>
      <w:r w:rsidR="00712E98" w:rsidRPr="00712E98">
        <w:t>Residents of Philadelphia employed outside of Pennsylvania may be required to file and pay a local income tax in that jurisdiction in addition to Philadelphia Earnings Tax</w:t>
      </w:r>
      <w:r w:rsidR="00712E98">
        <w:t>.</w:t>
      </w:r>
      <w:r w:rsidR="00253B6E">
        <w:t>”</w:t>
      </w:r>
      <w:r w:rsidR="00712E98">
        <w:rPr>
          <w:rStyle w:val="FootnoteReference"/>
        </w:rPr>
        <w:footnoteReference w:id="5"/>
      </w:r>
      <w:r w:rsidR="00253B6E" w:rsidRPr="00DF3911">
        <w:t xml:space="preserve"> </w:t>
      </w:r>
      <w:r w:rsidR="00712E98">
        <w:t xml:space="preserve"> </w:t>
      </w:r>
      <w:r w:rsidR="00D915A0" w:rsidRPr="00DF3911">
        <w:t xml:space="preserve">Cleveland, Detroit, </w:t>
      </w:r>
      <w:r w:rsidR="00D915A0" w:rsidRPr="00DF3911">
        <w:lastRenderedPageBreak/>
        <w:t>Indiana’s counties, Kansas Ci</w:t>
      </w:r>
      <w:r w:rsidR="00D915A0">
        <w:t>ty, St. Louis, and Wilmington, Delaware have similar laws.</w:t>
      </w:r>
      <w:r w:rsidR="00D915A0">
        <w:rPr>
          <w:rStyle w:val="FootnoteReference"/>
        </w:rPr>
        <w:footnoteReference w:id="6"/>
      </w:r>
    </w:p>
    <w:p w14:paraId="5353F2C8" w14:textId="12C921C5" w:rsidR="00E31AF8" w:rsidRDefault="00502508" w:rsidP="00502508">
      <w:pPr>
        <w:pStyle w:val="BodyText"/>
      </w:pPr>
      <w:r>
        <w:t>These d</w:t>
      </w:r>
      <w:r w:rsidR="00E31AF8" w:rsidRPr="001A5597">
        <w:t xml:space="preserve">ecisions about whether to provide a tax credit against certain local taxes </w:t>
      </w:r>
      <w:r>
        <w:t>not only reflect a complex policy judgment about the appropriate mix of taxes</w:t>
      </w:r>
      <w:r w:rsidR="00ED0410">
        <w:t xml:space="preserve"> and treatment of competing equities, </w:t>
      </w:r>
      <w:r>
        <w:t xml:space="preserve">but also a judgment </w:t>
      </w:r>
      <w:r w:rsidR="00E31AF8" w:rsidRPr="001A5597">
        <w:t xml:space="preserve">about the nature and purpose of the tax.  For example, at the state level Maryland endeavors to tax all income earned in the state:  The state taxes residents’ income, non-residents’ income earned in Maryland, and corporate income earned in Maryland.  </w:t>
      </w:r>
      <w:r w:rsidR="00E31AF8" w:rsidRPr="001A5597">
        <w:rPr>
          <w:i/>
        </w:rPr>
        <w:t>See</w:t>
      </w:r>
      <w:r w:rsidR="00E31AF8" w:rsidRPr="001A5597">
        <w:t xml:space="preserve"> Md. </w:t>
      </w:r>
      <w:r w:rsidR="00E31AF8">
        <w:t>Tax C</w:t>
      </w:r>
      <w:r w:rsidR="00E31AF8" w:rsidRPr="001A5597">
        <w:t xml:space="preserve">ode § 10-102.  But </w:t>
      </w:r>
      <w:r w:rsidR="00E31AF8">
        <w:t xml:space="preserve">the county tax is more limited.  There is no county corporate income tax; the county tax applies only to individuals.  </w:t>
      </w:r>
      <w:r w:rsidR="00E31AF8">
        <w:rPr>
          <w:i/>
        </w:rPr>
        <w:t>See i</w:t>
      </w:r>
      <w:r w:rsidR="00E31AF8" w:rsidRPr="00516AE1">
        <w:rPr>
          <w:i/>
        </w:rPr>
        <w:t>d</w:t>
      </w:r>
      <w:r w:rsidR="00E31AF8">
        <w:t xml:space="preserve">. </w:t>
      </w:r>
      <w:proofErr w:type="gramStart"/>
      <w:r w:rsidR="00E31AF8">
        <w:t>§§ 10-103, 10-101(j), (k).</w:t>
      </w:r>
      <w:proofErr w:type="gramEnd"/>
      <w:r w:rsidR="00E31AF8">
        <w:t xml:space="preserve">  </w:t>
      </w:r>
      <w:r w:rsidR="00992DEE">
        <w:t xml:space="preserve">The counties also do not tax </w:t>
      </w:r>
      <w:r w:rsidR="00E31AF8" w:rsidRPr="001A5597">
        <w:t xml:space="preserve">the income of </w:t>
      </w:r>
      <w:r w:rsidR="00E31AF8">
        <w:t>mo</w:t>
      </w:r>
      <w:r w:rsidR="00992DEE">
        <w:t>st non-residents who work there.</w:t>
      </w:r>
      <w:r w:rsidR="00E31AF8">
        <w:t xml:space="preserve"> </w:t>
      </w:r>
      <w:r w:rsidR="00992DEE">
        <w:t xml:space="preserve"> </w:t>
      </w:r>
      <w:r w:rsidR="00E31AF8">
        <w:t>Counties do not tax the income of resid</w:t>
      </w:r>
      <w:r w:rsidR="00992DEE">
        <w:t xml:space="preserve">ents of other Maryland counties, id. § 103(a), </w:t>
      </w:r>
      <w:r w:rsidR="00E31AF8">
        <w:t xml:space="preserve">and </w:t>
      </w:r>
      <w:r w:rsidR="00992DEE">
        <w:t xml:space="preserve">they </w:t>
      </w:r>
      <w:r w:rsidR="00E31AF8">
        <w:t xml:space="preserve">only tax the income of non-residents who happen to live in a locality that would itself tax the income of </w:t>
      </w:r>
      <w:r w:rsidR="00E31AF8" w:rsidRPr="00516AE1">
        <w:t xml:space="preserve">a </w:t>
      </w:r>
      <w:r w:rsidR="00E31AF8" w:rsidRPr="00516AE1">
        <w:lastRenderedPageBreak/>
        <w:t>Maryland resident working there</w:t>
      </w:r>
      <w:r w:rsidR="00E31AF8">
        <w:t xml:space="preserve"> without providing a credit or otherwise exempting the </w:t>
      </w:r>
      <w:r w:rsidR="00992DEE">
        <w:t xml:space="preserve">income, </w:t>
      </w:r>
      <w:r w:rsidR="00992DEE">
        <w:rPr>
          <w:i/>
        </w:rPr>
        <w:t>i</w:t>
      </w:r>
      <w:r w:rsidR="00E31AF8" w:rsidRPr="006A3964">
        <w:rPr>
          <w:i/>
        </w:rPr>
        <w:t>d</w:t>
      </w:r>
      <w:r w:rsidR="00E31AF8">
        <w:t>. §§ 10-103(a</w:t>
      </w:r>
      <w:proofErr w:type="gramStart"/>
      <w:r w:rsidR="00E31AF8">
        <w:t>)(</w:t>
      </w:r>
      <w:proofErr w:type="gramEnd"/>
      <w:r w:rsidR="00E31AF8">
        <w:t>4), 10-806(c)</w:t>
      </w:r>
      <w:r w:rsidR="00E31AF8" w:rsidRPr="001A5597">
        <w:t>.</w:t>
      </w:r>
      <w:r w:rsidR="00E31AF8">
        <w:t xml:space="preserve">  Nine States have such localities, and notably the bordering states of Virginia, West Virginia, Pennsylvania, Delaware, and the District of Columbia are not </w:t>
      </w:r>
      <w:r w:rsidR="0008704B">
        <w:t>among them</w:t>
      </w:r>
      <w:r w:rsidR="00E31AF8">
        <w:t>.</w:t>
      </w:r>
      <w:r w:rsidR="00D21890">
        <w:rPr>
          <w:rStyle w:val="FootnoteReference"/>
        </w:rPr>
        <w:footnoteReference w:id="7"/>
      </w:r>
      <w:r w:rsidR="00E31AF8">
        <w:t xml:space="preserve">  </w:t>
      </w:r>
      <w:r w:rsidR="00E31AF8" w:rsidRPr="001A5597">
        <w:t xml:space="preserve">Howard County thus taxes neither the wages of a Baltimore County resident or a Virginia resident who works in Howard County.  Thus, rather than </w:t>
      </w:r>
      <w:r w:rsidR="00E31AF8">
        <w:t>seeking to tax</w:t>
      </w:r>
      <w:r w:rsidR="00E31AF8" w:rsidRPr="001A5597">
        <w:t xml:space="preserve"> all income earned </w:t>
      </w:r>
      <w:r w:rsidR="00E31AF8">
        <w:t>locally</w:t>
      </w:r>
      <w:r w:rsidR="00E31AF8" w:rsidRPr="001A5597">
        <w:t xml:space="preserve">, the county </w:t>
      </w:r>
      <w:r w:rsidR="00E31AF8">
        <w:t xml:space="preserve">primarily </w:t>
      </w:r>
      <w:r w:rsidR="00E31AF8" w:rsidRPr="001A5597">
        <w:t xml:space="preserve">uses its residents’ net income as a proxy for the extent to which residents have the ability to pay for the local services </w:t>
      </w:r>
      <w:r>
        <w:t>they enjoy</w:t>
      </w:r>
      <w:r w:rsidR="00E31AF8" w:rsidRPr="001A5597">
        <w:t>.  In light of the different nature of the two taxes, it is rational to provide a credit a</w:t>
      </w:r>
      <w:r w:rsidR="00E31AF8">
        <w:t xml:space="preserve">gainst </w:t>
      </w:r>
      <w:r w:rsidR="00B67179">
        <w:t xml:space="preserve">the former </w:t>
      </w:r>
      <w:r w:rsidR="00E31AF8">
        <w:t xml:space="preserve">but not the </w:t>
      </w:r>
      <w:r w:rsidR="00B67179">
        <w:t>latter</w:t>
      </w:r>
      <w:r w:rsidR="00E31AF8">
        <w:t>.</w:t>
      </w:r>
    </w:p>
    <w:p w14:paraId="779CDA6B" w14:textId="7F999193" w:rsidR="00E31AF8" w:rsidRDefault="00502508" w:rsidP="00E31AF8">
      <w:pPr>
        <w:pStyle w:val="BodyText"/>
      </w:pPr>
      <w:r>
        <w:t xml:space="preserve">At bottom, any tax system will generate perceived inequities and policy tradeoffs and it is </w:t>
      </w:r>
      <w:r w:rsidR="00E31AF8">
        <w:t xml:space="preserve">the function of state and local government to make difficult judgments about </w:t>
      </w:r>
      <w:r>
        <w:t xml:space="preserve">the </w:t>
      </w:r>
      <w:r w:rsidR="00E31AF8">
        <w:t xml:space="preserve">competing </w:t>
      </w:r>
      <w:r>
        <w:t xml:space="preserve">interests and to </w:t>
      </w:r>
      <w:r w:rsidR="00E31AF8">
        <w:t xml:space="preserve">face the voters.  A property tax to fund local schools has a potentially inequitable effect on those who lack school-age children or must devote more of their income to housing.  A tax on personal property has a potentially inequitable effect on those who collect cars instead of stamps.  </w:t>
      </w:r>
      <w:r w:rsidR="004E7175">
        <w:t xml:space="preserve">Some would </w:t>
      </w:r>
      <w:r w:rsidR="00E31AF8">
        <w:t>advocate a flat tax, which is equitable in some ways but would be far more regressive</w:t>
      </w:r>
      <w:r w:rsidR="000644EE">
        <w:t xml:space="preserve">.  </w:t>
      </w:r>
      <w:r w:rsidR="0008704B">
        <w:t xml:space="preserve">Maryland’s compromise approach in turn is rational and fair.  </w:t>
      </w:r>
      <w:r w:rsidR="000644EE">
        <w:t xml:space="preserve">The fact </w:t>
      </w:r>
      <w:r w:rsidR="00ED0410">
        <w:t xml:space="preserve">there </w:t>
      </w:r>
      <w:r w:rsidR="000644EE">
        <w:lastRenderedPageBreak/>
        <w:t xml:space="preserve">are competing equitable claims is thus an unavoidable reality, not an </w:t>
      </w:r>
      <w:r w:rsidR="00E31AF8">
        <w:t xml:space="preserve">excuse for courts to craft a new bright-line rule without mooring in the Constitution. </w:t>
      </w:r>
    </w:p>
    <w:p w14:paraId="6BA815B9" w14:textId="5CCB5065" w:rsidR="0048227A" w:rsidRDefault="0048227A" w:rsidP="00F63364">
      <w:pPr>
        <w:pStyle w:val="Heading2"/>
      </w:pPr>
      <w:bookmarkStart w:id="13" w:name="_Toc393794317"/>
      <w:r>
        <w:t xml:space="preserve">The </w:t>
      </w:r>
      <w:r w:rsidR="00F63364">
        <w:rPr>
          <w:lang w:val="en-US"/>
        </w:rPr>
        <w:t xml:space="preserve">Novel Ruling Below </w:t>
      </w:r>
      <w:r w:rsidR="00804D6C">
        <w:t xml:space="preserve">Violates </w:t>
      </w:r>
      <w:r>
        <w:t>State Sovereignty</w:t>
      </w:r>
      <w:r w:rsidR="00F63364">
        <w:rPr>
          <w:lang w:val="en-US"/>
        </w:rPr>
        <w:t xml:space="preserve"> And Misreads This Court’s Precedents</w:t>
      </w:r>
      <w:bookmarkEnd w:id="13"/>
    </w:p>
    <w:p w14:paraId="0EFC982E" w14:textId="19742237" w:rsidR="000350AB" w:rsidRDefault="008F26C7" w:rsidP="00B374D6">
      <w:pPr>
        <w:pStyle w:val="BodyText"/>
      </w:pPr>
      <w:r>
        <w:t>1. T</w:t>
      </w:r>
      <w:r w:rsidR="00C722DF">
        <w:t xml:space="preserve">he Maryland Court of Appeals’ </w:t>
      </w:r>
      <w:r w:rsidR="00775489">
        <w:t xml:space="preserve">sweeping and novel ruling </w:t>
      </w:r>
      <w:r w:rsidR="00B374D6">
        <w:t xml:space="preserve">needlessly constitutionalizes a new area of the law, </w:t>
      </w:r>
      <w:r w:rsidR="00070EEF">
        <w:t>calls into question the democratic judgments made by all the jurisd</w:t>
      </w:r>
      <w:r w:rsidR="00736D34">
        <w:t>ictions above,</w:t>
      </w:r>
      <w:r w:rsidR="00070EEF">
        <w:t xml:space="preserve"> </w:t>
      </w:r>
      <w:r w:rsidR="00C722DF">
        <w:t>significantly undermines state sovereignty</w:t>
      </w:r>
      <w:r w:rsidR="00215FE1">
        <w:t>, and imposes a constitutional rigidity in an area where states and localities need flexibility</w:t>
      </w:r>
      <w:r w:rsidR="00C722DF">
        <w:t xml:space="preserve">.  </w:t>
      </w:r>
    </w:p>
    <w:p w14:paraId="170EDE1F" w14:textId="76967BC1" w:rsidR="00C722DF" w:rsidRDefault="00C722DF" w:rsidP="00B374D6">
      <w:pPr>
        <w:pStyle w:val="BodyText"/>
      </w:pPr>
      <w:r>
        <w:t xml:space="preserve">This Court has long recognized that the power to tax is </w:t>
      </w:r>
      <w:r w:rsidR="002E56A1">
        <w:t>“</w:t>
      </w:r>
      <w:r w:rsidR="002E56A1" w:rsidRPr="00B325CA">
        <w:t>a necessary instrument of self-government and territorial management</w:t>
      </w:r>
      <w:r w:rsidR="002E56A1">
        <w:t>.”</w:t>
      </w:r>
      <w:r w:rsidR="002E56A1" w:rsidRPr="002E56A1">
        <w:rPr>
          <w:i/>
        </w:rPr>
        <w:t xml:space="preserve"> </w:t>
      </w:r>
      <w:r w:rsidR="002E56A1">
        <w:rPr>
          <w:i/>
        </w:rPr>
        <w:t xml:space="preserve"> </w:t>
      </w:r>
      <w:proofErr w:type="spellStart"/>
      <w:r w:rsidR="002E56A1" w:rsidRPr="001B7645">
        <w:rPr>
          <w:i/>
        </w:rPr>
        <w:t>Merrion</w:t>
      </w:r>
      <w:proofErr w:type="spellEnd"/>
      <w:r w:rsidR="002E56A1" w:rsidRPr="001B7645">
        <w:rPr>
          <w:i/>
        </w:rPr>
        <w:t xml:space="preserve"> v. Jicarilla Apache Tribe</w:t>
      </w:r>
      <w:r w:rsidR="002E56A1">
        <w:t xml:space="preserve">, 455 U.S. 130, 137 (1982); </w:t>
      </w:r>
      <w:r w:rsidR="002E56A1" w:rsidRPr="003902FE">
        <w:rPr>
          <w:i/>
        </w:rPr>
        <w:t xml:space="preserve">see also </w:t>
      </w:r>
      <w:r w:rsidRPr="001B7645">
        <w:rPr>
          <w:i/>
        </w:rPr>
        <w:t>McCulloch v. Maryland</w:t>
      </w:r>
      <w:r>
        <w:t>, 17 U.S. 316, 429 (1819)</w:t>
      </w:r>
      <w:r w:rsidR="002E56A1">
        <w:t xml:space="preserve"> (an “incident of sovereignty”)</w:t>
      </w:r>
      <w:r>
        <w:t>.  It is critical for any government “</w:t>
      </w:r>
      <w:r w:rsidRPr="009306F2">
        <w:t>to raise</w:t>
      </w:r>
      <w:r>
        <w:t xml:space="preserve"> </w:t>
      </w:r>
      <w:r w:rsidRPr="009306F2">
        <w:t>revenue to defray the expenses of government</w:t>
      </w:r>
      <w:r>
        <w:t xml:space="preserve"> </w:t>
      </w:r>
      <w:r w:rsidRPr="009306F2">
        <w:t>and to distribute its burdens equably among</w:t>
      </w:r>
      <w:r>
        <w:t xml:space="preserve"> </w:t>
      </w:r>
      <w:r w:rsidRPr="009306F2">
        <w:t>th</w:t>
      </w:r>
      <w:r w:rsidR="003902FE">
        <w:t>ose who enjoy its benefits.</w:t>
      </w:r>
      <w:r>
        <w:t xml:space="preserve">” </w:t>
      </w:r>
      <w:r w:rsidR="003902FE">
        <w:t xml:space="preserve"> </w:t>
      </w:r>
      <w:proofErr w:type="gramStart"/>
      <w:r w:rsidRPr="001B7645">
        <w:rPr>
          <w:i/>
        </w:rPr>
        <w:t xml:space="preserve">Lawrence v. State Tax </w:t>
      </w:r>
      <w:proofErr w:type="spellStart"/>
      <w:r w:rsidRPr="001B7645">
        <w:rPr>
          <w:i/>
        </w:rPr>
        <w:t>Comm’n</w:t>
      </w:r>
      <w:proofErr w:type="spellEnd"/>
      <w:r>
        <w:t xml:space="preserve">, 286 U.S. 276, 279 </w:t>
      </w:r>
      <w:r w:rsidRPr="009306F2">
        <w:t>(1932)</w:t>
      </w:r>
      <w:r w:rsidR="00086C65">
        <w:t>.</w:t>
      </w:r>
      <w:proofErr w:type="gramEnd"/>
      <w:r w:rsidR="00086C65">
        <w:t xml:space="preserve">  </w:t>
      </w:r>
      <w:r w:rsidR="003630B8">
        <w:t xml:space="preserve"> Moreover, because taxes </w:t>
      </w:r>
      <w:r w:rsidR="00710D93">
        <w:t xml:space="preserve">and tax collectors </w:t>
      </w:r>
      <w:r w:rsidR="003630B8">
        <w:t xml:space="preserve">have been unpopular for as long as there have been taxes, </w:t>
      </w:r>
      <w:r w:rsidR="00073CCE">
        <w:t>governments need considerable flexibility to choose among rational policy alternatives</w:t>
      </w:r>
      <w:r>
        <w:t>.</w:t>
      </w:r>
      <w:r w:rsidR="001379E1">
        <w:t xml:space="preserve">  </w:t>
      </w:r>
      <w:r>
        <w:t xml:space="preserve"> </w:t>
      </w:r>
    </w:p>
    <w:p w14:paraId="7835C0C9" w14:textId="22D190C7" w:rsidR="00AC130C" w:rsidRDefault="00C722DF" w:rsidP="00500A99">
      <w:pPr>
        <w:pStyle w:val="BodyText"/>
      </w:pPr>
      <w:r>
        <w:t xml:space="preserve">Striking the right balance between the proper level of government benefits and the proper level of tax has always been (and always will be) a matter of intense political debate. </w:t>
      </w:r>
      <w:r w:rsidR="002303E7">
        <w:t xml:space="preserve"> </w:t>
      </w:r>
      <w:r>
        <w:t xml:space="preserve">This Court in turn has recognized that </w:t>
      </w:r>
      <w:r w:rsidR="0008184E">
        <w:t>the resolution of those debates is</w:t>
      </w:r>
      <w:r>
        <w:t xml:space="preserve"> </w:t>
      </w:r>
      <w:r>
        <w:lastRenderedPageBreak/>
        <w:t>generally reserved for the peop</w:t>
      </w:r>
      <w:r w:rsidR="0008184E">
        <w:t>le—not the judiciary—</w:t>
      </w:r>
      <w:r>
        <w:t xml:space="preserve">through the democratic process.  </w:t>
      </w:r>
      <w:r w:rsidRPr="00A2400E">
        <w:rPr>
          <w:i/>
        </w:rPr>
        <w:t>E.g., Shaffer</w:t>
      </w:r>
      <w:r w:rsidR="003902FE">
        <w:t>,</w:t>
      </w:r>
      <w:r w:rsidRPr="00A2400E">
        <w:rPr>
          <w:i/>
        </w:rPr>
        <w:t xml:space="preserve"> </w:t>
      </w:r>
      <w:r>
        <w:t xml:space="preserve">252 U.S. </w:t>
      </w:r>
      <w:r w:rsidR="003902FE">
        <w:t xml:space="preserve">at </w:t>
      </w:r>
      <w:r>
        <w:t>51 (“</w:t>
      </w:r>
      <w:r w:rsidRPr="00EC35DD">
        <w:t>The rights of the several States to exercise the widest liberty with respect to the imposition of internal taxes always has been recognized in the decisions of this court.</w:t>
      </w:r>
      <w:r>
        <w:t xml:space="preserve">”); </w:t>
      </w:r>
      <w:r w:rsidRPr="00A2400E">
        <w:rPr>
          <w:i/>
        </w:rPr>
        <w:t>McCulloch</w:t>
      </w:r>
      <w:r>
        <w:t>,</w:t>
      </w:r>
      <w:r w:rsidRPr="002A274A">
        <w:t xml:space="preserve"> </w:t>
      </w:r>
      <w:r>
        <w:t xml:space="preserve">17 U.S. at </w:t>
      </w:r>
      <w:r w:rsidRPr="002A274A">
        <w:t>428 (“In imposing a tax, the</w:t>
      </w:r>
      <w:r>
        <w:t xml:space="preserve"> </w:t>
      </w:r>
      <w:r w:rsidRPr="002A274A">
        <w:t>legislature acts upon its constituent</w:t>
      </w:r>
      <w:r w:rsidR="00355FB0" w:rsidRPr="002A274A">
        <w:t>s</w:t>
      </w:r>
      <w:r w:rsidR="00355FB0">
        <w:t xml:space="preserve">.  </w:t>
      </w:r>
      <w:r w:rsidR="00355FB0" w:rsidRPr="002A274A">
        <w:t>T</w:t>
      </w:r>
      <w:r w:rsidRPr="002A274A">
        <w:t>his is, in</w:t>
      </w:r>
      <w:r>
        <w:t xml:space="preserve"> </w:t>
      </w:r>
      <w:r w:rsidRPr="002A274A">
        <w:t>general, a sufficient security against erroneous and</w:t>
      </w:r>
      <w:r>
        <w:t xml:space="preserve"> </w:t>
      </w:r>
      <w:r w:rsidRPr="002A274A">
        <w:t>oppressive taxation.”).</w:t>
      </w:r>
    </w:p>
    <w:p w14:paraId="0B8E4C4F" w14:textId="6632896F" w:rsidR="00AC130C" w:rsidRDefault="00257326" w:rsidP="00AC130C">
      <w:pPr>
        <w:pStyle w:val="BodyText"/>
      </w:pPr>
      <w:r>
        <w:t>S</w:t>
      </w:r>
      <w:r w:rsidR="00500A99">
        <w:t xml:space="preserve">tructuring </w:t>
      </w:r>
      <w:r>
        <w:t xml:space="preserve">a state or local </w:t>
      </w:r>
      <w:r w:rsidR="00500A99">
        <w:t xml:space="preserve">tax code </w:t>
      </w:r>
      <w:r>
        <w:t xml:space="preserve">thus involves </w:t>
      </w:r>
      <w:r w:rsidR="00500A99">
        <w:t xml:space="preserve">quintessential policy judgments </w:t>
      </w:r>
      <w:r>
        <w:t xml:space="preserve">that </w:t>
      </w:r>
      <w:r w:rsidR="00500A99">
        <w:t xml:space="preserve">our Constitution reserves for </w:t>
      </w:r>
      <w:r>
        <w:t xml:space="preserve">state and local </w:t>
      </w:r>
      <w:r w:rsidR="00500A99">
        <w:t xml:space="preserve">elected officials.  </w:t>
      </w:r>
      <w:r>
        <w:t xml:space="preserve">Those officials </w:t>
      </w:r>
      <w:r w:rsidR="00500A99">
        <w:t xml:space="preserve">must decide how much revenue to </w:t>
      </w:r>
      <w:proofErr w:type="gramStart"/>
      <w:r w:rsidR="00500A99">
        <w:t>raise</w:t>
      </w:r>
      <w:proofErr w:type="gramEnd"/>
      <w:r w:rsidR="00C85D65">
        <w:t xml:space="preserve"> with</w:t>
      </w:r>
      <w:r w:rsidR="00500A99">
        <w:t xml:space="preserve"> what kinds of taxes—Sales taxes? </w:t>
      </w:r>
      <w:proofErr w:type="gramStart"/>
      <w:r w:rsidR="00500A99">
        <w:t>Property taxes?</w:t>
      </w:r>
      <w:proofErr w:type="gramEnd"/>
      <w:r w:rsidR="00500A99">
        <w:t xml:space="preserve"> </w:t>
      </w:r>
      <w:proofErr w:type="gramStart"/>
      <w:r w:rsidR="00500A99">
        <w:t>Income taxes?</w:t>
      </w:r>
      <w:proofErr w:type="gramEnd"/>
      <w:r w:rsidR="00500A99">
        <w:t xml:space="preserve"> Gross receipts taxes? Corporate income taxes?—and they must make a host of policy decisions as to any particular tax: What should the rate be? How broad or narrow should the tax base be? How should the tax be assessed and enforced? What exemptions shoul</w:t>
      </w:r>
      <w:r w:rsidR="0013001B">
        <w:t xml:space="preserve">d be applied? Should </w:t>
      </w:r>
      <w:r w:rsidR="00500A99">
        <w:t>credit</w:t>
      </w:r>
      <w:r w:rsidR="0013001B">
        <w:t>s or deductions be allowed</w:t>
      </w:r>
      <w:r w:rsidR="00500A99">
        <w:t xml:space="preserve">? Should the tax be subject to a floor? </w:t>
      </w:r>
      <w:proofErr w:type="gramStart"/>
      <w:r w:rsidR="00500A99">
        <w:t>A ceiling?</w:t>
      </w:r>
      <w:proofErr w:type="gramEnd"/>
      <w:r w:rsidR="00500A99">
        <w:t xml:space="preserve"> The </w:t>
      </w:r>
      <w:r>
        <w:t xml:space="preserve">possibilities </w:t>
      </w:r>
      <w:r w:rsidR="00500A99">
        <w:t>are endless</w:t>
      </w:r>
      <w:r>
        <w:t xml:space="preserve"> and virtually any decision pleases some cons</w:t>
      </w:r>
      <w:r w:rsidR="00D33D09">
        <w:t>tituents while upsetting</w:t>
      </w:r>
      <w:r>
        <w:t xml:space="preserve"> others.  Courts should be </w:t>
      </w:r>
      <w:proofErr w:type="spellStart"/>
      <w:proofErr w:type="gramStart"/>
      <w:r>
        <w:t>loathe</w:t>
      </w:r>
      <w:proofErr w:type="spellEnd"/>
      <w:proofErr w:type="gramEnd"/>
      <w:r>
        <w:t xml:space="preserve"> to craft new constitutional rules that embroil them in this </w:t>
      </w:r>
      <w:r w:rsidR="0013001B">
        <w:t xml:space="preserve">policy </w:t>
      </w:r>
      <w:r>
        <w:t>thicket</w:t>
      </w:r>
      <w:r w:rsidR="00C85D65">
        <w:t xml:space="preserve"> and encourage further litigation</w:t>
      </w:r>
      <w:r w:rsidR="004D11B8">
        <w:t>.</w:t>
      </w:r>
    </w:p>
    <w:p w14:paraId="136D21B6" w14:textId="0DA417EE" w:rsidR="00C722DF" w:rsidRDefault="00C722DF" w:rsidP="00E130FD">
      <w:pPr>
        <w:pStyle w:val="BodyText"/>
      </w:pPr>
      <w:r>
        <w:t xml:space="preserve">The Maryland Court of Appeals’ </w:t>
      </w:r>
      <w:r w:rsidR="00700C0F">
        <w:t xml:space="preserve">novel venture is </w:t>
      </w:r>
      <w:r w:rsidR="00257326">
        <w:t xml:space="preserve">particularly </w:t>
      </w:r>
      <w:r>
        <w:t>pernici</w:t>
      </w:r>
      <w:r w:rsidR="0054463B">
        <w:t>ous</w:t>
      </w:r>
      <w:r w:rsidR="008E1F47">
        <w:t xml:space="preserve"> </w:t>
      </w:r>
      <w:r w:rsidR="00700C0F">
        <w:t xml:space="preserve">because </w:t>
      </w:r>
      <w:r w:rsidR="00014D3C">
        <w:t xml:space="preserve">it deprives one state of authority to </w:t>
      </w:r>
      <w:r>
        <w:t xml:space="preserve">tax its </w:t>
      </w:r>
      <w:r w:rsidR="00700C0F">
        <w:t xml:space="preserve">own </w:t>
      </w:r>
      <w:r>
        <w:t xml:space="preserve">residents’ income </w:t>
      </w:r>
      <w:r w:rsidR="00700C0F">
        <w:t>based on</w:t>
      </w:r>
      <w:r w:rsidR="00205307">
        <w:t xml:space="preserve"> </w:t>
      </w:r>
      <w:r w:rsidR="00014D3C">
        <w:t>a sister state</w:t>
      </w:r>
      <w:r w:rsidR="00700C0F">
        <w:t xml:space="preserve">’s decision </w:t>
      </w:r>
      <w:r w:rsidR="00643E2E">
        <w:t xml:space="preserve">to tax </w:t>
      </w:r>
      <w:r w:rsidR="008A67AE">
        <w:t>a</w:t>
      </w:r>
      <w:r w:rsidR="00205307">
        <w:t xml:space="preserve"> </w:t>
      </w:r>
      <w:r w:rsidR="005A42AF">
        <w:t xml:space="preserve">non-resident’s </w:t>
      </w:r>
      <w:r w:rsidR="00205307">
        <w:t>income</w:t>
      </w:r>
      <w:r w:rsidR="00643E2E">
        <w:t xml:space="preserve">. </w:t>
      </w:r>
      <w:r w:rsidR="00205307">
        <w:t xml:space="preserve"> </w:t>
      </w:r>
      <w:r w:rsidRPr="00643E2E">
        <w:rPr>
          <w:i/>
        </w:rPr>
        <w:t xml:space="preserve">See </w:t>
      </w:r>
      <w:r>
        <w:t xml:space="preserve">U.S. Inv. Br. </w:t>
      </w:r>
      <w:r w:rsidR="00643E2E">
        <w:t>9</w:t>
      </w:r>
      <w:r>
        <w:t xml:space="preserve">. </w:t>
      </w:r>
      <w:r w:rsidR="006F3592">
        <w:t xml:space="preserve"> </w:t>
      </w:r>
      <w:r w:rsidR="008757E9">
        <w:t xml:space="preserve">Our Constitution has no </w:t>
      </w:r>
      <w:r w:rsidR="008757E9">
        <w:lastRenderedPageBreak/>
        <w:t>“horizontal supremacy clause”</w:t>
      </w:r>
      <w:r>
        <w:t xml:space="preserve"> forcing any one state to defer to another, much less to command the bizarre result that the state where a person </w:t>
      </w:r>
      <w:r w:rsidRPr="008D38F6">
        <w:rPr>
          <w:i/>
        </w:rPr>
        <w:t>lives</w:t>
      </w:r>
      <w:r>
        <w:t xml:space="preserve"> must defer to a state wher</w:t>
      </w:r>
      <w:r w:rsidR="008757E9">
        <w:t>e</w:t>
      </w:r>
      <w:r>
        <w:t xml:space="preserve"> she merely </w:t>
      </w:r>
      <w:r w:rsidRPr="008D38F6">
        <w:rPr>
          <w:i/>
        </w:rPr>
        <w:t>invests</w:t>
      </w:r>
      <w:r>
        <w:t xml:space="preserve">. </w:t>
      </w:r>
      <w:r w:rsidR="0059465A">
        <w:t xml:space="preserve"> </w:t>
      </w:r>
      <w:r w:rsidR="006F3592">
        <w:t xml:space="preserve">The Constitution does not embrace a </w:t>
      </w:r>
      <w:r w:rsidR="00DC5330">
        <w:t>particular theory of taxation, such that claims to tax all income received by a resident must yield to a competing claim to tax income-generating activ</w:t>
      </w:r>
      <w:r w:rsidR="00384F4A">
        <w:t xml:space="preserve">ities of non-residents.  </w:t>
      </w:r>
      <w:r>
        <w:t xml:space="preserve">Instead, </w:t>
      </w:r>
      <w:r w:rsidR="009C5D7F">
        <w:t xml:space="preserve">the fifty </w:t>
      </w:r>
      <w:r w:rsidR="00AA1FD2">
        <w:t xml:space="preserve">States </w:t>
      </w:r>
      <w:r>
        <w:t xml:space="preserve">are </w:t>
      </w:r>
      <w:r w:rsidR="00AA1FD2">
        <w:t xml:space="preserve">generally </w:t>
      </w:r>
      <w:r w:rsidR="009C5D7F">
        <w:t xml:space="preserve">free to operate as </w:t>
      </w:r>
      <w:r>
        <w:t>l</w:t>
      </w:r>
      <w:r w:rsidR="009C5D7F">
        <w:t>aboratories of democracy</w:t>
      </w:r>
      <w:r w:rsidR="00AA1FD2">
        <w:t>,</w:t>
      </w:r>
      <w:r w:rsidR="009C5D7F">
        <w:t xml:space="preserve"> </w:t>
      </w:r>
      <w:r w:rsidR="00AA1FD2">
        <w:t>exercising</w:t>
      </w:r>
      <w:r>
        <w:t xml:space="preserve"> its </w:t>
      </w:r>
      <w:r w:rsidR="00E130FD">
        <w:t xml:space="preserve">independent judgment about how to govern itself </w:t>
      </w:r>
      <w:r>
        <w:t xml:space="preserve">without restriction or limitation by another state’s parallel conduct.  </w:t>
      </w:r>
      <w:r w:rsidRPr="007C6F99">
        <w:rPr>
          <w:i/>
        </w:rPr>
        <w:t>Cf</w:t>
      </w:r>
      <w:r>
        <w:t xml:space="preserve">. </w:t>
      </w:r>
      <w:r w:rsidR="007A1277" w:rsidRPr="007A1277">
        <w:rPr>
          <w:i/>
        </w:rPr>
        <w:t xml:space="preserve">State Tax </w:t>
      </w:r>
      <w:proofErr w:type="spellStart"/>
      <w:r w:rsidR="007A1277" w:rsidRPr="007A1277">
        <w:rPr>
          <w:i/>
        </w:rPr>
        <w:t>Comm’n</w:t>
      </w:r>
      <w:proofErr w:type="spellEnd"/>
      <w:r w:rsidR="007A1277" w:rsidRPr="007A1277">
        <w:rPr>
          <w:i/>
        </w:rPr>
        <w:t xml:space="preserve"> of Utah v. Aldrich</w:t>
      </w:r>
      <w:r w:rsidR="007A1277" w:rsidRPr="00212BEE">
        <w:t>, 316 US 174</w:t>
      </w:r>
      <w:r w:rsidR="007A1277">
        <w:t>, 181 (1942) (“</w:t>
      </w:r>
      <w:r w:rsidR="007A1277" w:rsidRPr="00212BEE">
        <w:t xml:space="preserve">there is no constitutional rule of immunity from taxation of intangibles by more than one </w:t>
      </w:r>
      <w:r w:rsidR="007A1277" w:rsidRPr="007A1277">
        <w:rPr>
          <w:bCs/>
        </w:rPr>
        <w:t>State</w:t>
      </w:r>
      <w:r w:rsidR="007A1277" w:rsidRPr="007A1277">
        <w:t>.</w:t>
      </w:r>
      <w:r w:rsidR="007A1277">
        <w:t xml:space="preserve">”); </w:t>
      </w:r>
      <w:proofErr w:type="spellStart"/>
      <w:r w:rsidRPr="007C6F99">
        <w:rPr>
          <w:i/>
        </w:rPr>
        <w:t>Bartkus</w:t>
      </w:r>
      <w:proofErr w:type="spellEnd"/>
      <w:r w:rsidRPr="007C6F99">
        <w:rPr>
          <w:i/>
        </w:rPr>
        <w:t xml:space="preserve"> v. Illinois</w:t>
      </w:r>
      <w:r>
        <w:t>, 359 U.S. 121, 128–31 (1959) (</w:t>
      </w:r>
      <w:r w:rsidR="007A1277">
        <w:t>no constitutional immunity from prosecution by more than one state</w:t>
      </w:r>
      <w:r>
        <w:t>).</w:t>
      </w:r>
    </w:p>
    <w:p w14:paraId="5C14C40E" w14:textId="0D789F0A" w:rsidR="00E2633F" w:rsidRDefault="008F26C7" w:rsidP="0008704B">
      <w:pPr>
        <w:pStyle w:val="BodyText"/>
      </w:pPr>
      <w:r>
        <w:t xml:space="preserve">2.  </w:t>
      </w:r>
      <w:r w:rsidR="00F779B0">
        <w:t xml:space="preserve">The Due Process Clause and the Commerce Clause provide no </w:t>
      </w:r>
      <w:r w:rsidR="004D11B8">
        <w:t xml:space="preserve">support </w:t>
      </w:r>
      <w:r w:rsidR="00F779B0">
        <w:t xml:space="preserve">for </w:t>
      </w:r>
      <w:r w:rsidR="004D11B8">
        <w:t xml:space="preserve">Respondents’ novel rule that </w:t>
      </w:r>
      <w:r w:rsidR="00C85D65">
        <w:t xml:space="preserve">the Constitution compels </w:t>
      </w:r>
      <w:r w:rsidR="004D11B8">
        <w:t>a particular kind of tax relief (a credit, not a deduction) at a particular level (a full 100% credit and not a dollar less)</w:t>
      </w:r>
      <w:r w:rsidR="00B85CA2">
        <w:t xml:space="preserve"> when </w:t>
      </w:r>
      <w:r w:rsidR="0008704B">
        <w:t xml:space="preserve">its residents pay foreign income taxes.  </w:t>
      </w:r>
      <w:r w:rsidR="00C722DF">
        <w:t>First</w:t>
      </w:r>
      <w:r w:rsidR="00CC02CD">
        <w:t xml:space="preserve">, </w:t>
      </w:r>
      <w:r w:rsidR="00C722DF">
        <w:t xml:space="preserve">Respondents </w:t>
      </w:r>
      <w:r w:rsidR="00294B54">
        <w:t xml:space="preserve">have </w:t>
      </w:r>
      <w:r w:rsidR="00C722DF">
        <w:t xml:space="preserve">sufficient contacts with the jurisdiction to justify </w:t>
      </w:r>
      <w:r w:rsidR="0027071C">
        <w:t xml:space="preserve">taxation of their entire income </w:t>
      </w:r>
      <w:r w:rsidR="00CC02CD">
        <w:t>as a matter of Due Process</w:t>
      </w:r>
      <w:r w:rsidR="00C722DF">
        <w:t xml:space="preserve">: </w:t>
      </w:r>
      <w:r w:rsidR="00D160C2">
        <w:t xml:space="preserve"> </w:t>
      </w:r>
      <w:r w:rsidR="00A4165C">
        <w:t>Howard County is their home</w:t>
      </w:r>
      <w:r w:rsidR="00C722DF">
        <w:t xml:space="preserve">. </w:t>
      </w:r>
      <w:r w:rsidR="002837E2">
        <w:t xml:space="preserve"> </w:t>
      </w:r>
      <w:r w:rsidR="00C722DF" w:rsidRPr="00FE6EF1">
        <w:rPr>
          <w:i/>
        </w:rPr>
        <w:t>Shaffer</w:t>
      </w:r>
      <w:r w:rsidR="00C722DF" w:rsidRPr="00BD52C3">
        <w:t>, 252</w:t>
      </w:r>
      <w:r w:rsidR="00C722DF">
        <w:t xml:space="preserve"> U.S. </w:t>
      </w:r>
      <w:r w:rsidR="003902FE">
        <w:t xml:space="preserve">at </w:t>
      </w:r>
      <w:r w:rsidR="00C722DF">
        <w:t>57 (“as to residents [a State]</w:t>
      </w:r>
      <w:r w:rsidR="00C722DF" w:rsidRPr="00BD52C3">
        <w:t xml:space="preserve"> may, and does,</w:t>
      </w:r>
      <w:r w:rsidR="00C722DF">
        <w:t xml:space="preserve"> e</w:t>
      </w:r>
      <w:r w:rsidR="00C722DF" w:rsidRPr="00BD52C3">
        <w:t>xert its taxing power over their income from all</w:t>
      </w:r>
      <w:r w:rsidR="00C722DF">
        <w:t xml:space="preserve"> </w:t>
      </w:r>
      <w:r w:rsidR="00C722DF" w:rsidRPr="00BD52C3">
        <w:t>Sources, whether</w:t>
      </w:r>
      <w:r w:rsidR="00C722DF">
        <w:t xml:space="preserve"> within or without the state.”)</w:t>
      </w:r>
      <w:r w:rsidR="00A4165C">
        <w:t xml:space="preserve">; </w:t>
      </w:r>
      <w:r w:rsidR="00A4165C" w:rsidRPr="00A4165C">
        <w:rPr>
          <w:i/>
        </w:rPr>
        <w:t>cf. Goodyear Dunlop Tires Operations, SA v. Brown</w:t>
      </w:r>
      <w:r w:rsidR="00A4165C" w:rsidRPr="00A4165C">
        <w:t>, 131 S. Ct. 2846</w:t>
      </w:r>
      <w:r w:rsidR="00A4165C">
        <w:t xml:space="preserve">, 2851 (2011) (state may exercise general jurisdiction even </w:t>
      </w:r>
      <w:r w:rsidR="00A4165C">
        <w:lastRenderedPageBreak/>
        <w:t>over a foreign corporation if it is “essentially at home in the forum State”</w:t>
      </w:r>
      <w:r w:rsidR="00E36FA3">
        <w:t>)</w:t>
      </w:r>
      <w:r w:rsidR="00477685">
        <w:t>.</w:t>
      </w:r>
      <w:r w:rsidR="007D2C2A">
        <w:t xml:space="preserve">   </w:t>
      </w:r>
      <w:r w:rsidR="0098290A">
        <w:t>This hoary due process</w:t>
      </w:r>
      <w:r w:rsidR="0082075B">
        <w:t xml:space="preserve"> principle reflects both the close relationship between a resident</w:t>
      </w:r>
      <w:r w:rsidR="00E2633F">
        <w:t xml:space="preserve"> and her </w:t>
      </w:r>
      <w:r w:rsidR="00AA7980">
        <w:t xml:space="preserve">state and local government, </w:t>
      </w:r>
      <w:r w:rsidR="00E2633F">
        <w:t xml:space="preserve">and the reality that when a </w:t>
      </w:r>
      <w:r w:rsidR="00AA7980">
        <w:t>s</w:t>
      </w:r>
      <w:r w:rsidR="00E2633F">
        <w:t xml:space="preserve">tate or locality taxes a resident, it </w:t>
      </w:r>
      <w:r w:rsidR="0098290A">
        <w:t>“</w:t>
      </w:r>
      <w:r w:rsidR="00E2633F" w:rsidRPr="002A274A">
        <w:t>acts upon its constituents</w:t>
      </w:r>
      <w:r w:rsidR="00E2633F">
        <w:t xml:space="preserve">.  </w:t>
      </w:r>
      <w:r w:rsidR="00E2633F" w:rsidRPr="002A274A">
        <w:t>This is, in</w:t>
      </w:r>
      <w:r w:rsidR="00E2633F">
        <w:t xml:space="preserve"> </w:t>
      </w:r>
      <w:r w:rsidR="00E2633F" w:rsidRPr="002A274A">
        <w:t>general, a sufficient security against erroneous and</w:t>
      </w:r>
      <w:r w:rsidR="00E2633F">
        <w:t xml:space="preserve"> </w:t>
      </w:r>
      <w:r w:rsidR="0098290A">
        <w:t xml:space="preserve">oppressive taxation.”  </w:t>
      </w:r>
      <w:r w:rsidR="0098290A" w:rsidRPr="00A2400E">
        <w:rPr>
          <w:i/>
        </w:rPr>
        <w:t>McCulloch</w:t>
      </w:r>
      <w:r w:rsidR="0098290A">
        <w:t>,</w:t>
      </w:r>
      <w:r w:rsidR="0098290A" w:rsidRPr="002A274A">
        <w:t xml:space="preserve"> </w:t>
      </w:r>
      <w:r w:rsidR="0098290A">
        <w:t xml:space="preserve">17 U.S. at </w:t>
      </w:r>
      <w:r w:rsidR="0098290A" w:rsidRPr="002A274A">
        <w:t>428</w:t>
      </w:r>
      <w:r w:rsidR="0098290A">
        <w:t>.</w:t>
      </w:r>
    </w:p>
    <w:p w14:paraId="5D9AF898" w14:textId="3383816F" w:rsidR="00C722DF" w:rsidRDefault="00B51962" w:rsidP="00AA7980">
      <w:pPr>
        <w:pStyle w:val="BodyText"/>
      </w:pPr>
      <w:r>
        <w:t>T</w:t>
      </w:r>
      <w:r w:rsidR="00C722DF">
        <w:t xml:space="preserve">he </w:t>
      </w:r>
      <w:r>
        <w:t xml:space="preserve">tax is also </w:t>
      </w:r>
      <w:r w:rsidR="00C722DF">
        <w:t xml:space="preserve">consistent with the Commerce Clause. </w:t>
      </w:r>
      <w:r w:rsidR="00E8662B">
        <w:t xml:space="preserve"> </w:t>
      </w:r>
      <w:r w:rsidR="00C722DF">
        <w:t xml:space="preserve">This Court’s dormant Commerce Clause </w:t>
      </w:r>
      <w:r w:rsidR="008451DE">
        <w:t xml:space="preserve">jurisprudence </w:t>
      </w:r>
      <w:r w:rsidR="00C722DF">
        <w:t>protects a non-resident “against discriminatory taxation, but gives him no right to be favored by discrimination or exemption.”</w:t>
      </w:r>
      <w:r w:rsidR="00C722DF" w:rsidRPr="0059425E">
        <w:t xml:space="preserve"> </w:t>
      </w:r>
      <w:r w:rsidR="00CE2D1E">
        <w:t xml:space="preserve"> </w:t>
      </w:r>
      <w:r w:rsidR="00C722DF" w:rsidRPr="00CE2D1E">
        <w:rPr>
          <w:i/>
        </w:rPr>
        <w:t>Shaffer</w:t>
      </w:r>
      <w:r w:rsidR="00CE2D1E">
        <w:t xml:space="preserve">, </w:t>
      </w:r>
      <w:r w:rsidR="00C722DF">
        <w:t xml:space="preserve">252 U.S. at 53. </w:t>
      </w:r>
      <w:r w:rsidR="00CE2D1E">
        <w:t xml:space="preserve"> </w:t>
      </w:r>
      <w:r w:rsidR="00C722DF">
        <w:t xml:space="preserve">Yet that is exactly what Respondents’ are seeking: </w:t>
      </w:r>
      <w:r w:rsidR="00CE2D1E">
        <w:t xml:space="preserve"> </w:t>
      </w:r>
      <w:r w:rsidR="00C722DF">
        <w:t xml:space="preserve">An exemption (via tax credits) from a tax that </w:t>
      </w:r>
      <w:r w:rsidR="00CE2D1E">
        <w:t xml:space="preserve">is </w:t>
      </w:r>
      <w:r w:rsidR="00C722DF">
        <w:t>n</w:t>
      </w:r>
      <w:r w:rsidR="00CE2D1E">
        <w:t>eutral and generally applicable</w:t>
      </w:r>
      <w:r w:rsidR="00C722DF">
        <w:t xml:space="preserve">. </w:t>
      </w:r>
      <w:r w:rsidR="00E914AA">
        <w:t xml:space="preserve"> </w:t>
      </w:r>
      <w:r w:rsidR="00C722DF" w:rsidRPr="00CE2D1E">
        <w:rPr>
          <w:i/>
        </w:rPr>
        <w:t>Cf</w:t>
      </w:r>
      <w:r w:rsidR="00C722DF">
        <w:t>. U.S. Const. Amend. XVI</w:t>
      </w:r>
      <w:r w:rsidR="003D6A09">
        <w:t xml:space="preserve">; </w:t>
      </w:r>
      <w:r w:rsidR="003D6A09" w:rsidRPr="003D6A09">
        <w:rPr>
          <w:i/>
        </w:rPr>
        <w:t>Employment Division v. Smith</w:t>
      </w:r>
      <w:r w:rsidR="003D6A09">
        <w:t>, 494 U.S. 872 (1990)</w:t>
      </w:r>
      <w:r w:rsidR="008E1F47">
        <w:t xml:space="preserve"> (First Amendment does not guarantee exemptions from neutral and generally applicable laws).  </w:t>
      </w:r>
      <w:r w:rsidR="00C722DF">
        <w:t xml:space="preserve">Any impact that this tax has on interstate commerce is </w:t>
      </w:r>
      <w:r w:rsidR="00E130FD">
        <w:t xml:space="preserve">thus </w:t>
      </w:r>
      <w:r w:rsidR="00C722DF">
        <w:t>just as inciden</w:t>
      </w:r>
      <w:r w:rsidR="00F274CB">
        <w:t>tal as its impact on intrastate—and international—</w:t>
      </w:r>
      <w:r w:rsidR="00C722DF">
        <w:t>commerce</w:t>
      </w:r>
      <w:r w:rsidR="00F274CB">
        <w:t>:  I</w:t>
      </w:r>
      <w:r w:rsidR="00C722DF">
        <w:t xml:space="preserve">t taxes </w:t>
      </w:r>
      <w:r w:rsidR="00AA7980">
        <w:t xml:space="preserve">all of a resident’s income </w:t>
      </w:r>
      <w:r w:rsidR="00D95A79">
        <w:t>equally</w:t>
      </w:r>
      <w:r w:rsidR="00C722DF">
        <w:t>.</w:t>
      </w:r>
    </w:p>
    <w:p w14:paraId="65FA437E" w14:textId="034995C7" w:rsidR="00700C5C" w:rsidRDefault="008F26C7" w:rsidP="00DD109F">
      <w:pPr>
        <w:pStyle w:val="BodyText"/>
      </w:pPr>
      <w:r>
        <w:t xml:space="preserve">If any further inquiry is required, at most there must be some minimal justification for the tax based on its </w:t>
      </w:r>
      <w:r w:rsidR="00895400">
        <w:t xml:space="preserve">connection to </w:t>
      </w:r>
      <w:r>
        <w:t xml:space="preserve">local benefits. </w:t>
      </w:r>
      <w:r w:rsidR="00895400">
        <w:t xml:space="preserve"> </w:t>
      </w:r>
      <w:r w:rsidRPr="00E541B9">
        <w:rPr>
          <w:i/>
        </w:rPr>
        <w:t xml:space="preserve">Compare </w:t>
      </w:r>
      <w:r w:rsidRPr="00BE0991">
        <w:rPr>
          <w:i/>
        </w:rPr>
        <w:t>Pike v. Bruce Church, Inc.</w:t>
      </w:r>
      <w:r>
        <w:t>, 397 U.S. 137, 142 (1970) (</w:t>
      </w:r>
      <w:r w:rsidRPr="00903653">
        <w:t xml:space="preserve">burden on </w:t>
      </w:r>
      <w:r>
        <w:t xml:space="preserve">interstate </w:t>
      </w:r>
      <w:r w:rsidRPr="00903653">
        <w:t xml:space="preserve">commerce </w:t>
      </w:r>
      <w:r>
        <w:t>may not be “</w:t>
      </w:r>
      <w:r w:rsidRPr="00903653">
        <w:t>clearly excessive in relation to the putative local benefits</w:t>
      </w:r>
      <w:r>
        <w:t xml:space="preserve">”); </w:t>
      </w:r>
      <w:r w:rsidRPr="00BE0991">
        <w:rPr>
          <w:i/>
        </w:rPr>
        <w:t>Williamson v. Lee Optical of Okla.</w:t>
      </w:r>
      <w:r>
        <w:t xml:space="preserve">, </w:t>
      </w:r>
      <w:r w:rsidRPr="00BE0991">
        <w:rPr>
          <w:bCs/>
        </w:rPr>
        <w:t>348 U.S. 483 (1955)</w:t>
      </w:r>
      <w:r w:rsidRPr="007C1F3E">
        <w:t xml:space="preserve"> </w:t>
      </w:r>
      <w:r>
        <w:t>(“</w:t>
      </w:r>
      <w:r w:rsidRPr="007C1F3E">
        <w:t xml:space="preserve">It is enough that there </w:t>
      </w:r>
      <w:r>
        <w:t xml:space="preserve">[be] </w:t>
      </w:r>
      <w:r w:rsidRPr="007C1F3E">
        <w:t xml:space="preserve">an evil at hand for correction, and that it might be thought that the particular legislative measure was a rational way to correct </w:t>
      </w:r>
      <w:r w:rsidRPr="007C1F3E">
        <w:lastRenderedPageBreak/>
        <w:t>it.</w:t>
      </w:r>
      <w:r>
        <w:t xml:space="preserve">”). </w:t>
      </w:r>
      <w:r w:rsidR="00700C5C">
        <w:t xml:space="preserve"> </w:t>
      </w:r>
      <w:r>
        <w:t>For the reasons set forth above,</w:t>
      </w:r>
      <w:r w:rsidRPr="007A0172">
        <w:t xml:space="preserve"> </w:t>
      </w:r>
      <w:r>
        <w:t xml:space="preserve">the </w:t>
      </w:r>
      <w:r w:rsidR="0071405D">
        <w:t>law</w:t>
      </w:r>
      <w:r>
        <w:t xml:space="preserve"> here satisfies any such inquiry.  </w:t>
      </w:r>
      <w:r w:rsidR="00700C5C">
        <w:t>State and local governments provide their residents with unique and extensive benefits that justify taxation</w:t>
      </w:r>
      <w:r w:rsidR="006F5967">
        <w:t>, n</w:t>
      </w:r>
      <w:r w:rsidR="00784544">
        <w:t>et income is a rat</w:t>
      </w:r>
      <w:r w:rsidR="004612CC">
        <w:t>ional tax base, and a fixed-</w:t>
      </w:r>
      <w:r w:rsidR="0067287D">
        <w:t>percentage tax on the net income of all res</w:t>
      </w:r>
      <w:r w:rsidR="00BD743A">
        <w:t>idents</w:t>
      </w:r>
      <w:r w:rsidR="0067287D">
        <w:t xml:space="preserve">, without credits for foreign income taxes paid, is </w:t>
      </w:r>
      <w:r w:rsidR="00DD109F">
        <w:t xml:space="preserve">not “clearly excessive” to the benefits of county residency.  </w:t>
      </w:r>
      <w:r w:rsidR="00BD743A">
        <w:t xml:space="preserve">Maryland could opt for a different approach.  It could provide full credits against county income taxes with corresponding increases in other taxes.  </w:t>
      </w:r>
      <w:r w:rsidR="00C85589">
        <w:t xml:space="preserve"> But w</w:t>
      </w:r>
      <w:r w:rsidR="004801F6">
        <w:t xml:space="preserve">ise or unwise, Maryland’s </w:t>
      </w:r>
      <w:r w:rsidR="00992F00">
        <w:t xml:space="preserve">approach </w:t>
      </w:r>
      <w:r w:rsidR="004801F6">
        <w:t xml:space="preserve">is </w:t>
      </w:r>
      <w:r w:rsidR="00C85589">
        <w:t xml:space="preserve">satisfies any </w:t>
      </w:r>
      <w:r w:rsidR="00C03809">
        <w:t>applicable constitutional test</w:t>
      </w:r>
      <w:r w:rsidR="004801F6">
        <w:t>.</w:t>
      </w:r>
    </w:p>
    <w:p w14:paraId="7958B887" w14:textId="1BA45B2B" w:rsidR="00036A17" w:rsidRDefault="00992F00" w:rsidP="00DD109F">
      <w:pPr>
        <w:pStyle w:val="BodyText"/>
      </w:pPr>
      <w:r>
        <w:t>T</w:t>
      </w:r>
      <w:r w:rsidR="002F6053">
        <w:t xml:space="preserve">he Maryland Court of Appeals mistakenly </w:t>
      </w:r>
      <w:r w:rsidR="00E130FD">
        <w:t>extended</w:t>
      </w:r>
      <w:r w:rsidR="00E71AE5">
        <w:t xml:space="preserve"> </w:t>
      </w:r>
      <w:r w:rsidR="00DD109F" w:rsidRPr="00BE0991">
        <w:rPr>
          <w:i/>
        </w:rPr>
        <w:t>Complete Auto Transit, Inc. v. Brady</w:t>
      </w:r>
      <w:r w:rsidR="00DD109F">
        <w:t xml:space="preserve">, 430 U.S. 274 (1977), </w:t>
      </w:r>
      <w:r w:rsidR="00E71AE5">
        <w:t xml:space="preserve">which </w:t>
      </w:r>
      <w:r w:rsidR="0087409E">
        <w:t>holds</w:t>
      </w:r>
      <w:r w:rsidR="00E71AE5">
        <w:t xml:space="preserve"> that </w:t>
      </w:r>
      <w:r w:rsidR="00F26BEA">
        <w:t xml:space="preserve">it is not </w:t>
      </w:r>
      <w:r w:rsidR="00F26BEA" w:rsidRPr="00F26BEA">
        <w:rPr>
          <w:i/>
        </w:rPr>
        <w:t xml:space="preserve">per se </w:t>
      </w:r>
      <w:r w:rsidR="00F26BEA">
        <w:t xml:space="preserve">unconstitutional to apply a tax on the </w:t>
      </w:r>
      <w:r w:rsidR="00407224">
        <w:t xml:space="preserve">privilege of </w:t>
      </w:r>
      <w:r w:rsidR="009127BB">
        <w:t>doing business</w:t>
      </w:r>
      <w:r w:rsidR="00F26BEA">
        <w:t xml:space="preserve"> against a non-resident corporation engaged </w:t>
      </w:r>
      <w:r w:rsidR="009127BB">
        <w:t xml:space="preserve">solely </w:t>
      </w:r>
      <w:r w:rsidR="00F26BEA">
        <w:t xml:space="preserve">in interstate </w:t>
      </w:r>
      <w:r w:rsidR="00680FB3">
        <w:t>activity</w:t>
      </w:r>
      <w:r w:rsidR="00F26BEA">
        <w:t xml:space="preserve">.  </w:t>
      </w:r>
      <w:proofErr w:type="gramStart"/>
      <w:r w:rsidR="00E71AE5" w:rsidRPr="00E71AE5">
        <w:rPr>
          <w:i/>
        </w:rPr>
        <w:t>Id</w:t>
      </w:r>
      <w:r w:rsidR="00E71AE5">
        <w:t>. at 289.</w:t>
      </w:r>
      <w:proofErr w:type="gramEnd"/>
      <w:r w:rsidR="00E71AE5">
        <w:t xml:space="preserve"> </w:t>
      </w:r>
      <w:r w:rsidR="0077392A">
        <w:t xml:space="preserve"> </w:t>
      </w:r>
      <w:r w:rsidR="008C1019">
        <w:t>The</w:t>
      </w:r>
      <w:r w:rsidR="00E71AE5">
        <w:t xml:space="preserve"> validity of such a tax depends not on its label but its function, including</w:t>
      </w:r>
      <w:r w:rsidR="00B51AEA">
        <w:t xml:space="preserve"> </w:t>
      </w:r>
      <w:r w:rsidR="00E71AE5">
        <w:t xml:space="preserve">whether it is “fairly apportioned.”  </w:t>
      </w:r>
      <w:proofErr w:type="gramStart"/>
      <w:r w:rsidR="00E71AE5" w:rsidRPr="00E71AE5">
        <w:rPr>
          <w:i/>
        </w:rPr>
        <w:t>Id</w:t>
      </w:r>
      <w:r w:rsidR="006215BE">
        <w:t>. at </w:t>
      </w:r>
      <w:r w:rsidR="00E71AE5">
        <w:t>279.</w:t>
      </w:r>
      <w:proofErr w:type="gramEnd"/>
      <w:r w:rsidR="00E71AE5">
        <w:t xml:space="preserve">  </w:t>
      </w:r>
      <w:r w:rsidR="00E54B27">
        <w:t xml:space="preserve">But </w:t>
      </w:r>
      <w:r w:rsidR="00655478">
        <w:rPr>
          <w:i/>
        </w:rPr>
        <w:t xml:space="preserve">Complete Auto </w:t>
      </w:r>
      <w:r w:rsidR="00655478">
        <w:t xml:space="preserve">does not </w:t>
      </w:r>
      <w:r w:rsidR="00C03809">
        <w:t xml:space="preserve">logically extend to taxes on </w:t>
      </w:r>
      <w:r w:rsidR="00C03809" w:rsidRPr="0057331A">
        <w:rPr>
          <w:i/>
        </w:rPr>
        <w:t>residents</w:t>
      </w:r>
      <w:r w:rsidR="00C03809">
        <w:t xml:space="preserve"> or </w:t>
      </w:r>
      <w:r w:rsidR="00655478">
        <w:t xml:space="preserve">hold that </w:t>
      </w:r>
      <w:r w:rsidR="00C238E8">
        <w:t xml:space="preserve">apportionment </w:t>
      </w:r>
      <w:r w:rsidR="004948E6">
        <w:t>is a free-standing requireme</w:t>
      </w:r>
      <w:r w:rsidR="00AA5A26">
        <w:t xml:space="preserve">nt of all </w:t>
      </w:r>
      <w:r w:rsidR="0054144C">
        <w:t xml:space="preserve">state </w:t>
      </w:r>
      <w:r w:rsidR="00AA5A26">
        <w:t>taxes in all contexts.</w:t>
      </w:r>
      <w:r w:rsidR="004948E6">
        <w:t xml:space="preserve"> </w:t>
      </w:r>
      <w:r w:rsidR="008C36B1">
        <w:t xml:space="preserve"> </w:t>
      </w:r>
      <w:r w:rsidR="00655478">
        <w:t xml:space="preserve">Rather, </w:t>
      </w:r>
      <w:r w:rsidR="0057331A">
        <w:t xml:space="preserve">the apportionment requirement addresses the unique vulnerabilities of non-residents and attempts </w:t>
      </w:r>
      <w:r w:rsidR="008C79BF">
        <w:t xml:space="preserve">to </w:t>
      </w:r>
      <w:r w:rsidR="00AA5A26">
        <w:t xml:space="preserve">ensure </w:t>
      </w:r>
      <w:r w:rsidR="009E0C14">
        <w:t xml:space="preserve">that </w:t>
      </w:r>
      <w:r w:rsidR="008C79BF">
        <w:t xml:space="preserve">the </w:t>
      </w:r>
      <w:r w:rsidR="009E0C14">
        <w:t xml:space="preserve">state </w:t>
      </w:r>
      <w:r w:rsidR="008C79BF">
        <w:t xml:space="preserve">is </w:t>
      </w:r>
      <w:r w:rsidR="00675437">
        <w:t>only reaching activity</w:t>
      </w:r>
      <w:r w:rsidR="003D2707">
        <w:t xml:space="preserve"> within its jurisdiction</w:t>
      </w:r>
      <w:r w:rsidR="00D56CEA">
        <w:t xml:space="preserve"> and no</w:t>
      </w:r>
      <w:r w:rsidR="00675437">
        <w:t>t purely extraterritorial activity</w:t>
      </w:r>
      <w:r w:rsidR="003D2707">
        <w:t xml:space="preserve"> (</w:t>
      </w:r>
      <w:r w:rsidR="00D56CEA">
        <w:t xml:space="preserve">as </w:t>
      </w:r>
      <w:r w:rsidR="004D6CFF">
        <w:t>familiar Due Process principles</w:t>
      </w:r>
      <w:r w:rsidR="00D56CEA">
        <w:t xml:space="preserve"> require</w:t>
      </w:r>
      <w:r w:rsidR="004D6CFF">
        <w:t xml:space="preserve">) </w:t>
      </w:r>
      <w:r w:rsidR="003D2707">
        <w:t xml:space="preserve">and not </w:t>
      </w:r>
      <w:r w:rsidR="00495F08">
        <w:t>discriminating</w:t>
      </w:r>
      <w:r w:rsidR="009E0C14">
        <w:t xml:space="preserve"> against out-of-state businesses</w:t>
      </w:r>
      <w:r w:rsidR="004D6CFF">
        <w:t xml:space="preserve"> </w:t>
      </w:r>
      <w:r w:rsidR="003D2707">
        <w:t>(</w:t>
      </w:r>
      <w:r w:rsidR="00D56CEA">
        <w:t xml:space="preserve">as </w:t>
      </w:r>
      <w:r w:rsidR="004D6CFF">
        <w:t>familiar Commerce Clause principles</w:t>
      </w:r>
      <w:r w:rsidR="00D56CEA">
        <w:t xml:space="preserve"> require</w:t>
      </w:r>
      <w:r w:rsidR="004D6CFF">
        <w:t>)</w:t>
      </w:r>
      <w:r w:rsidR="009E0C14">
        <w:t xml:space="preserve">.  </w:t>
      </w:r>
      <w:r w:rsidR="00AA5A26" w:rsidRPr="0034796C">
        <w:rPr>
          <w:i/>
        </w:rPr>
        <w:t>See id</w:t>
      </w:r>
      <w:r w:rsidR="005948EB">
        <w:t xml:space="preserve">. </w:t>
      </w:r>
      <w:r w:rsidR="00B85CA2">
        <w:t xml:space="preserve"> </w:t>
      </w:r>
      <w:r w:rsidR="00A62DF4">
        <w:t xml:space="preserve">There is no basis for extending an apportionment requirement here, however, </w:t>
      </w:r>
      <w:r w:rsidR="003F6F9D">
        <w:t xml:space="preserve">because </w:t>
      </w:r>
      <w:r w:rsidR="009127BB">
        <w:lastRenderedPageBreak/>
        <w:t xml:space="preserve">Maryland has </w:t>
      </w:r>
      <w:r w:rsidR="003F6F9D">
        <w:t xml:space="preserve">already </w:t>
      </w:r>
      <w:r w:rsidR="009127BB">
        <w:t xml:space="preserve">satisfied </w:t>
      </w:r>
      <w:r w:rsidR="003D2707">
        <w:t xml:space="preserve">those familiar </w:t>
      </w:r>
      <w:r w:rsidR="00E130FD">
        <w:t>constitutional commands</w:t>
      </w:r>
      <w:r w:rsidR="003D2707">
        <w:t xml:space="preserve"> without apportionment.  Maryland has </w:t>
      </w:r>
      <w:r w:rsidR="00B9166D">
        <w:t>not reach</w:t>
      </w:r>
      <w:r w:rsidR="003D2707">
        <w:t>ed</w:t>
      </w:r>
      <w:r w:rsidR="00B9166D">
        <w:t xml:space="preserve"> </w:t>
      </w:r>
      <w:r w:rsidR="00E130FD">
        <w:t xml:space="preserve">values </w:t>
      </w:r>
      <w:r w:rsidR="00770795">
        <w:t>beyond its borders</w:t>
      </w:r>
      <w:r w:rsidR="00B9166D">
        <w:t xml:space="preserve">; it </w:t>
      </w:r>
      <w:r w:rsidR="003D2707">
        <w:t>is taxing</w:t>
      </w:r>
      <w:r w:rsidR="00B9166D">
        <w:t xml:space="preserve"> </w:t>
      </w:r>
      <w:r w:rsidR="003D2707">
        <w:t xml:space="preserve">its own </w:t>
      </w:r>
      <w:r w:rsidR="00B9166D">
        <w:t>resident</w:t>
      </w:r>
      <w:r w:rsidR="00B97571">
        <w:t>s</w:t>
      </w:r>
      <w:r w:rsidR="00B9166D">
        <w:t xml:space="preserve">.  </w:t>
      </w:r>
      <w:r w:rsidR="00E130FD">
        <w:t xml:space="preserve">And </w:t>
      </w:r>
      <w:r w:rsidR="00036A17">
        <w:t xml:space="preserve">Maryland </w:t>
      </w:r>
      <w:r w:rsidR="00B9166D">
        <w:t xml:space="preserve">does not discriminate against interstate commerce; it taxes all income from all sources equally.  </w:t>
      </w:r>
    </w:p>
    <w:p w14:paraId="52DFCA1F" w14:textId="439C4E29" w:rsidR="00C7082F" w:rsidRDefault="004612CC" w:rsidP="00276F90">
      <w:pPr>
        <w:pStyle w:val="BodyText"/>
      </w:pPr>
      <w:r>
        <w:t>Moreover, t</w:t>
      </w:r>
      <w:r w:rsidR="00036A17">
        <w:t xml:space="preserve">his Court has long </w:t>
      </w:r>
      <w:r w:rsidR="000F77E3">
        <w:t>scrutinized</w:t>
      </w:r>
      <w:r w:rsidR="00036A17">
        <w:t xml:space="preserve"> state laws taxing multistate corporations with limited in-state presence because </w:t>
      </w:r>
      <w:r w:rsidR="005914EE">
        <w:t xml:space="preserve">states have a </w:t>
      </w:r>
      <w:r w:rsidR="00B12037">
        <w:t xml:space="preserve">temptation </w:t>
      </w:r>
      <w:r w:rsidR="00036A17">
        <w:t xml:space="preserve">to obtain </w:t>
      </w:r>
      <w:r w:rsidR="00B12037">
        <w:t xml:space="preserve">out-of-state </w:t>
      </w:r>
      <w:r w:rsidR="00036A17">
        <w:t xml:space="preserve">revenue without in-state costs by stretching the state’s territorial jurisdiction and burdening </w:t>
      </w:r>
      <w:r w:rsidR="005914EE">
        <w:t>out-of-state</w:t>
      </w:r>
      <w:r w:rsidR="00036A17">
        <w:t xml:space="preserve"> commerce without </w:t>
      </w:r>
      <w:r w:rsidR="00B12037">
        <w:t>providing any corresponding local benefit</w:t>
      </w:r>
      <w:r w:rsidR="00036A17">
        <w:t xml:space="preserve">.  </w:t>
      </w:r>
      <w:r w:rsidR="00036A17" w:rsidRPr="00036A17">
        <w:rPr>
          <w:i/>
        </w:rPr>
        <w:t xml:space="preserve">See, e.g., </w:t>
      </w:r>
      <w:proofErr w:type="spellStart"/>
      <w:r w:rsidR="00036A17" w:rsidRPr="003C3AA1">
        <w:rPr>
          <w:i/>
        </w:rPr>
        <w:t>MeadwestVaco</w:t>
      </w:r>
      <w:proofErr w:type="spellEnd"/>
      <w:r w:rsidR="00036A17" w:rsidRPr="003C3AA1">
        <w:rPr>
          <w:i/>
        </w:rPr>
        <w:t xml:space="preserve"> Corp. v. Illinois Dep’t of Revenue</w:t>
      </w:r>
      <w:r w:rsidR="00036A17">
        <w:t>, 553 U.S. 16, 25–29 (2008) (recounting the long history of this Court’s “uni</w:t>
      </w:r>
      <w:r w:rsidR="000F77E3">
        <w:t xml:space="preserve">tary business” jurisprudence).  </w:t>
      </w:r>
      <w:r w:rsidR="005B7A08">
        <w:t>F</w:t>
      </w:r>
      <w:r w:rsidR="00C255C8">
        <w:t xml:space="preserve">or taxation of residents, </w:t>
      </w:r>
      <w:r w:rsidR="005B7A08">
        <w:t xml:space="preserve">however, </w:t>
      </w:r>
      <w:r w:rsidR="008F1B8C">
        <w:t xml:space="preserve">there is </w:t>
      </w:r>
      <w:r w:rsidR="00EF6863">
        <w:t xml:space="preserve">no such temptation and </w:t>
      </w:r>
      <w:r w:rsidR="008F1B8C">
        <w:t xml:space="preserve">every reason to believe that the democratic process provides </w:t>
      </w:r>
      <w:r w:rsidR="00C7082F">
        <w:t xml:space="preserve">adequate protection.  </w:t>
      </w:r>
      <w:r w:rsidR="00036A17">
        <w:t>Maryland</w:t>
      </w:r>
      <w:r w:rsidR="008F1B8C">
        <w:t xml:space="preserve">’s tax </w:t>
      </w:r>
      <w:r w:rsidR="00701734">
        <w:t xml:space="preserve">does not </w:t>
      </w:r>
      <w:r w:rsidR="00036A17">
        <w:t>fr</w:t>
      </w:r>
      <w:r w:rsidR="000F77E3">
        <w:t>ee</w:t>
      </w:r>
      <w:r w:rsidR="00EF6EDF">
        <w:t xml:space="preserve"> ride on out-of-state commerce.</w:t>
      </w:r>
      <w:r w:rsidR="000F77E3">
        <w:t xml:space="preserve"> </w:t>
      </w:r>
      <w:r w:rsidR="00EF6EDF">
        <w:t xml:space="preserve"> </w:t>
      </w:r>
      <w:r w:rsidR="000F77E3">
        <w:t>T</w:t>
      </w:r>
      <w:r w:rsidR="00036A17">
        <w:t xml:space="preserve">he tax only applies to </w:t>
      </w:r>
      <w:r w:rsidR="00C255C8">
        <w:t>Maryland’s own residents</w:t>
      </w:r>
      <w:r w:rsidR="000F77E3">
        <w:t xml:space="preserve">, and thus imposes in-state economic and political costs.  The tax </w:t>
      </w:r>
      <w:r w:rsidR="00EB1AE7">
        <w:t xml:space="preserve">is </w:t>
      </w:r>
      <w:r w:rsidR="000F77E3">
        <w:t xml:space="preserve">literally </w:t>
      </w:r>
      <w:r w:rsidR="00EB1AE7">
        <w:t xml:space="preserve">paid out of </w:t>
      </w:r>
      <w:r w:rsidR="00EF6EDF">
        <w:t>residents’ own in-state pockets.</w:t>
      </w:r>
      <w:r w:rsidR="00EB1AE7">
        <w:t xml:space="preserve"> </w:t>
      </w:r>
      <w:r w:rsidR="00EF6EDF">
        <w:t xml:space="preserve"> I</w:t>
      </w:r>
      <w:r w:rsidR="00EB1AE7">
        <w:t xml:space="preserve">f they are </w:t>
      </w:r>
      <w:r w:rsidR="00FD3A1E" w:rsidRPr="00212BEE">
        <w:t>displeased</w:t>
      </w:r>
      <w:r w:rsidR="00FD3A1E">
        <w:t xml:space="preserve"> </w:t>
      </w:r>
      <w:r w:rsidR="00FD3A1E" w:rsidRPr="00212BEE">
        <w:t xml:space="preserve">with </w:t>
      </w:r>
      <w:r w:rsidR="00FD3A1E">
        <w:t xml:space="preserve">the tax, </w:t>
      </w:r>
      <w:r w:rsidR="00FD3A1E" w:rsidRPr="00212BEE">
        <w:t>they</w:t>
      </w:r>
      <w:r w:rsidR="00FD3A1E">
        <w:t xml:space="preserve"> </w:t>
      </w:r>
      <w:r w:rsidR="00EB1AE7">
        <w:t xml:space="preserve">may </w:t>
      </w:r>
      <w:r w:rsidR="00FD3A1E" w:rsidRPr="00212BEE">
        <w:t>“complain about and change the tax through</w:t>
      </w:r>
      <w:r w:rsidR="00FD3A1E">
        <w:t xml:space="preserve"> </w:t>
      </w:r>
      <w:r w:rsidR="00FD3A1E" w:rsidRPr="00212BEE">
        <w:t xml:space="preserve">the </w:t>
      </w:r>
      <w:r w:rsidR="00EB1AE7">
        <w:t>political process.</w:t>
      </w:r>
      <w:r w:rsidR="00FD3A1E">
        <w:t xml:space="preserve">” </w:t>
      </w:r>
      <w:r w:rsidR="00EB1AE7">
        <w:t xml:space="preserve"> </w:t>
      </w:r>
      <w:proofErr w:type="gramStart"/>
      <w:r w:rsidR="00FD3A1E" w:rsidRPr="00212BEE">
        <w:rPr>
          <w:i/>
          <w:iCs/>
        </w:rPr>
        <w:t>Goldberg v. Sweet</w:t>
      </w:r>
      <w:r w:rsidR="00FD3A1E" w:rsidRPr="00212BEE">
        <w:t>, 488</w:t>
      </w:r>
      <w:r w:rsidR="00EB1AE7">
        <w:t xml:space="preserve"> U.S. 252, 266 (1989)</w:t>
      </w:r>
      <w:r w:rsidR="00276F90">
        <w:t>.</w:t>
      </w:r>
      <w:proofErr w:type="gramEnd"/>
      <w:r w:rsidR="00276F90">
        <w:t xml:space="preserve">  </w:t>
      </w:r>
      <w:r w:rsidR="00EB1AE7">
        <w:t xml:space="preserve">Indeed, </w:t>
      </w:r>
      <w:r w:rsidR="00276F90">
        <w:t xml:space="preserve">residents can </w:t>
      </w:r>
      <w:r w:rsidR="00FD3A1E">
        <w:t xml:space="preserve">vote with their feet and move </w:t>
      </w:r>
      <w:r w:rsidR="00036A17">
        <w:t xml:space="preserve">to another jurisdiction with </w:t>
      </w:r>
      <w:r w:rsidR="00FD3A1E">
        <w:t>tax laws they prefer</w:t>
      </w:r>
      <w:r w:rsidR="00036A17">
        <w:t>.</w:t>
      </w:r>
      <w:r w:rsidR="000F77E3">
        <w:t xml:space="preserve">  </w:t>
      </w:r>
      <w:r w:rsidR="00C7082F">
        <w:t xml:space="preserve">These political and economic checks provide “sufficient security against erroneous and oppressive taxation,” </w:t>
      </w:r>
      <w:r w:rsidR="00C7082F" w:rsidRPr="00276F90">
        <w:rPr>
          <w:i/>
        </w:rPr>
        <w:t>McCulloch</w:t>
      </w:r>
      <w:r w:rsidR="00C7082F">
        <w:t>,</w:t>
      </w:r>
      <w:r w:rsidR="00C7082F" w:rsidRPr="00276F90">
        <w:rPr>
          <w:i/>
        </w:rPr>
        <w:t xml:space="preserve"> </w:t>
      </w:r>
      <w:r w:rsidR="00C7082F">
        <w:t xml:space="preserve">4 U.S. at </w:t>
      </w:r>
      <w:proofErr w:type="gramStart"/>
      <w:r w:rsidR="00C7082F">
        <w:t>428,</w:t>
      </w:r>
      <w:proofErr w:type="gramEnd"/>
      <w:r w:rsidR="00C7082F">
        <w:t xml:space="preserve"> and the novel interference of the courts is unwarranted.</w:t>
      </w:r>
    </w:p>
    <w:p w14:paraId="57A8AA92" w14:textId="49213824" w:rsidR="004612CC" w:rsidRDefault="004612CC" w:rsidP="00276F90">
      <w:pPr>
        <w:pStyle w:val="BodyText"/>
      </w:pPr>
      <w:r>
        <w:lastRenderedPageBreak/>
        <w:t>In short, the animating purpose underlying this Court’s allocation jurisprudence is missing here, and there is no justification for extending that notoriously imprecise jurisprudence to a context where there is no facial discrimination or temptation to impose disproportionate burdens on non-constituents</w:t>
      </w:r>
      <w:r w:rsidR="00547F4B">
        <w:t>.</w:t>
      </w:r>
    </w:p>
    <w:p w14:paraId="739019CD" w14:textId="40ACB5C6" w:rsidR="00741B77" w:rsidRPr="00315AA8" w:rsidRDefault="00363A06" w:rsidP="007A7247">
      <w:pPr>
        <w:pStyle w:val="Heading1"/>
      </w:pPr>
      <w:bookmarkStart w:id="14" w:name="_Toc351623394"/>
      <w:bookmarkStart w:id="15" w:name="_Toc393794318"/>
      <w:r>
        <w:rPr>
          <w:caps w:val="0"/>
        </w:rPr>
        <w:t>CONCLUSION</w:t>
      </w:r>
      <w:bookmarkEnd w:id="14"/>
      <w:bookmarkEnd w:id="15"/>
    </w:p>
    <w:p w14:paraId="7A3AD1CB" w14:textId="49273BF4" w:rsidR="00741B77" w:rsidRPr="00315AA8" w:rsidRDefault="00A54CE4" w:rsidP="007A7247">
      <w:pPr>
        <w:pStyle w:val="BodyText"/>
        <w:keepNext/>
        <w:keepLines/>
      </w:pPr>
      <w:r>
        <w:t xml:space="preserve">For the </w:t>
      </w:r>
      <w:r w:rsidR="00AF026D">
        <w:t xml:space="preserve">foregoing </w:t>
      </w:r>
      <w:r>
        <w:t>reasons, this</w:t>
      </w:r>
      <w:r w:rsidR="00741B77" w:rsidRPr="00315AA8">
        <w:t xml:space="preserve"> Court should </w:t>
      </w:r>
      <w:r w:rsidR="00A37C9F">
        <w:t>reverse</w:t>
      </w:r>
      <w:r w:rsidR="00741B77" w:rsidRPr="00315AA8">
        <w:t>.</w:t>
      </w:r>
    </w:p>
    <w:p w14:paraId="3D8F508F" w14:textId="77777777" w:rsidR="00741B77" w:rsidRDefault="00741B77" w:rsidP="007A7247">
      <w:pPr>
        <w:pStyle w:val="Closing"/>
        <w:keepNext/>
        <w:keepLines/>
        <w:spacing w:after="180"/>
        <w:ind w:left="2880"/>
      </w:pPr>
      <w:r w:rsidRPr="00315AA8">
        <w:t>Respectfully submitted,</w:t>
      </w:r>
    </w:p>
    <w:tbl>
      <w:tblPr>
        <w:tblW w:w="6120" w:type="dxa"/>
        <w:tblInd w:w="18" w:type="dxa"/>
        <w:tblBorders>
          <w:bottom w:val="thinThickSmallGap" w:sz="24" w:space="0" w:color="auto"/>
        </w:tblBorders>
        <w:tblLayout w:type="fixed"/>
        <w:tblCellMar>
          <w:left w:w="0" w:type="dxa"/>
          <w:right w:w="0" w:type="dxa"/>
        </w:tblCellMar>
        <w:tblLook w:val="0000" w:firstRow="0" w:lastRow="0" w:firstColumn="0" w:lastColumn="0" w:noHBand="0" w:noVBand="0"/>
      </w:tblPr>
      <w:tblGrid>
        <w:gridCol w:w="2862"/>
        <w:gridCol w:w="3258"/>
      </w:tblGrid>
      <w:tr w:rsidR="00741B77" w:rsidRPr="006124B8" w14:paraId="0BF3C8F7" w14:textId="77777777" w:rsidTr="007B42A8">
        <w:trPr>
          <w:trHeight w:val="2439"/>
        </w:trPr>
        <w:tc>
          <w:tcPr>
            <w:tcW w:w="2862" w:type="dxa"/>
            <w:tcBorders>
              <w:top w:val="nil"/>
              <w:left w:val="nil"/>
              <w:bottom w:val="nil"/>
              <w:right w:val="nil"/>
            </w:tcBorders>
          </w:tcPr>
          <w:p w14:paraId="5D8E56C8" w14:textId="71194D56" w:rsidR="00981D34" w:rsidRPr="009D6826" w:rsidRDefault="00981D34" w:rsidP="007A7247">
            <w:pPr>
              <w:keepNext/>
              <w:keepLines/>
              <w:ind w:left="432"/>
            </w:pPr>
          </w:p>
        </w:tc>
        <w:tc>
          <w:tcPr>
            <w:tcW w:w="3258" w:type="dxa"/>
            <w:tcBorders>
              <w:top w:val="nil"/>
              <w:left w:val="nil"/>
              <w:bottom w:val="nil"/>
              <w:right w:val="nil"/>
            </w:tcBorders>
          </w:tcPr>
          <w:p w14:paraId="3E2DA2D1" w14:textId="060F7913" w:rsidR="00741B77" w:rsidRDefault="00741B77" w:rsidP="007A7247">
            <w:pPr>
              <w:pStyle w:val="CounselofRecord"/>
              <w:keepNext/>
              <w:keepLines/>
              <w:spacing w:before="120"/>
              <w:rPr>
                <w:smallCaps w:val="0"/>
                <w:spacing w:val="-4"/>
                <w:sz w:val="24"/>
              </w:rPr>
            </w:pPr>
            <w:r w:rsidRPr="009D6826">
              <w:rPr>
                <w:sz w:val="24"/>
              </w:rPr>
              <w:t>Paul D. Clement</w:t>
            </w:r>
            <w:r w:rsidR="006E78FC">
              <w:rPr>
                <w:sz w:val="24"/>
              </w:rPr>
              <w:br/>
            </w:r>
            <w:r w:rsidR="00804A0D">
              <w:rPr>
                <w:smallCaps w:val="0"/>
                <w:sz w:val="24"/>
              </w:rPr>
              <w:t xml:space="preserve"> </w:t>
            </w:r>
            <w:r w:rsidRPr="009D6826">
              <w:rPr>
                <w:i/>
                <w:smallCaps w:val="0"/>
                <w:sz w:val="24"/>
              </w:rPr>
              <w:t>Counsel of Record</w:t>
            </w:r>
            <w:r w:rsidR="006E78FC">
              <w:rPr>
                <w:i/>
                <w:smallCaps w:val="0"/>
                <w:sz w:val="24"/>
              </w:rPr>
              <w:br/>
            </w:r>
            <w:r w:rsidR="00F17063">
              <w:rPr>
                <w:sz w:val="24"/>
              </w:rPr>
              <w:t>Zachary D. Tripp</w:t>
            </w:r>
            <w:r w:rsidR="006E78FC">
              <w:rPr>
                <w:sz w:val="24"/>
              </w:rPr>
              <w:br/>
            </w:r>
            <w:r w:rsidRPr="009D6826">
              <w:rPr>
                <w:caps/>
                <w:smallCaps w:val="0"/>
                <w:sz w:val="24"/>
              </w:rPr>
              <w:t>Bancroft PLLC</w:t>
            </w:r>
            <w:r w:rsidR="006E78FC">
              <w:rPr>
                <w:caps/>
                <w:smallCaps w:val="0"/>
                <w:sz w:val="24"/>
              </w:rPr>
              <w:br/>
            </w:r>
            <w:r w:rsidRPr="009D6826">
              <w:rPr>
                <w:smallCaps w:val="0"/>
                <w:sz w:val="24"/>
              </w:rPr>
              <w:t xml:space="preserve">1919 M </w:t>
            </w:r>
            <w:r w:rsidRPr="006124B8">
              <w:rPr>
                <w:smallCaps w:val="0"/>
                <w:sz w:val="24"/>
                <w:szCs w:val="24"/>
              </w:rPr>
              <w:t>Street</w:t>
            </w:r>
            <w:r w:rsidRPr="009D6826">
              <w:rPr>
                <w:smallCaps w:val="0"/>
                <w:sz w:val="24"/>
              </w:rPr>
              <w:t xml:space="preserve"> NW</w:t>
            </w:r>
            <w:r w:rsidR="006E78FC">
              <w:rPr>
                <w:smallCaps w:val="0"/>
                <w:sz w:val="24"/>
              </w:rPr>
              <w:br/>
            </w:r>
            <w:r w:rsidRPr="009D6826">
              <w:rPr>
                <w:smallCaps w:val="0"/>
                <w:sz w:val="24"/>
              </w:rPr>
              <w:t>Suite 470</w:t>
            </w:r>
            <w:r w:rsidRPr="006124B8">
              <w:rPr>
                <w:smallCaps w:val="0"/>
                <w:sz w:val="24"/>
                <w:szCs w:val="24"/>
              </w:rPr>
              <w:t xml:space="preserve"> </w:t>
            </w:r>
            <w:r w:rsidR="006E78FC">
              <w:rPr>
                <w:smallCaps w:val="0"/>
                <w:sz w:val="24"/>
                <w:szCs w:val="24"/>
              </w:rPr>
              <w:br/>
            </w:r>
            <w:r w:rsidR="002343AE">
              <w:rPr>
                <w:smallCaps w:val="0"/>
                <w:sz w:val="24"/>
              </w:rPr>
              <w:t>Washington, DC 20036</w:t>
            </w:r>
            <w:r w:rsidR="006E78FC">
              <w:rPr>
                <w:smallCaps w:val="0"/>
                <w:sz w:val="24"/>
              </w:rPr>
              <w:br/>
            </w:r>
            <w:r w:rsidRPr="006124B8">
              <w:rPr>
                <w:smallCaps w:val="0"/>
                <w:sz w:val="24"/>
                <w:szCs w:val="24"/>
              </w:rPr>
              <w:t>(202) 234-0090</w:t>
            </w:r>
            <w:r w:rsidR="006E78FC">
              <w:rPr>
                <w:smallCaps w:val="0"/>
                <w:sz w:val="24"/>
                <w:szCs w:val="24"/>
              </w:rPr>
              <w:br/>
            </w:r>
            <w:hyperlink r:id="rId24" w:history="1">
              <w:r w:rsidR="007607BC" w:rsidRPr="00526293">
                <w:rPr>
                  <w:rStyle w:val="Hyperlink"/>
                  <w:smallCaps w:val="0"/>
                  <w:spacing w:val="-4"/>
                  <w:sz w:val="24"/>
                </w:rPr>
                <w:t>pclement@bancroftpllc.com</w:t>
              </w:r>
            </w:hyperlink>
          </w:p>
          <w:p w14:paraId="38A42387" w14:textId="32473717" w:rsidR="007607BC" w:rsidRPr="009D6826" w:rsidRDefault="007607BC" w:rsidP="007607BC">
            <w:pPr>
              <w:pStyle w:val="CounselofRecord"/>
              <w:keepNext/>
              <w:keepLines/>
              <w:spacing w:before="120"/>
              <w:rPr>
                <w:smallCaps w:val="0"/>
                <w:spacing w:val="-4"/>
                <w:sz w:val="24"/>
              </w:rPr>
            </w:pPr>
            <w:r>
              <w:rPr>
                <w:smallCaps w:val="0"/>
                <w:sz w:val="23"/>
                <w:szCs w:val="23"/>
              </w:rPr>
              <w:t>John Neiman</w:t>
            </w:r>
            <w:r>
              <w:rPr>
                <w:smallCaps w:val="0"/>
                <w:sz w:val="23"/>
                <w:szCs w:val="23"/>
              </w:rPr>
              <w:br/>
            </w:r>
            <w:r w:rsidRPr="00697289">
              <w:rPr>
                <w:caps/>
                <w:sz w:val="23"/>
                <w:szCs w:val="23"/>
              </w:rPr>
              <w:t>Maynard Cooper &amp; Gale PC</w:t>
            </w:r>
            <w:r>
              <w:rPr>
                <w:smallCaps w:val="0"/>
                <w:sz w:val="23"/>
                <w:szCs w:val="23"/>
              </w:rPr>
              <w:br/>
            </w:r>
            <w:r>
              <w:rPr>
                <w:sz w:val="23"/>
                <w:szCs w:val="23"/>
              </w:rPr>
              <w:t>1901 Sixth Ave. North</w:t>
            </w:r>
            <w:r>
              <w:rPr>
                <w:sz w:val="23"/>
                <w:szCs w:val="23"/>
              </w:rPr>
              <w:br/>
            </w:r>
            <w:r w:rsidRPr="00697289">
              <w:rPr>
                <w:sz w:val="23"/>
                <w:szCs w:val="23"/>
              </w:rPr>
              <w:t xml:space="preserve">2400 Regions </w:t>
            </w:r>
            <w:proofErr w:type="spellStart"/>
            <w:r w:rsidRPr="00697289">
              <w:rPr>
                <w:sz w:val="23"/>
                <w:szCs w:val="23"/>
              </w:rPr>
              <w:t>Harbert</w:t>
            </w:r>
            <w:proofErr w:type="spellEnd"/>
            <w:r w:rsidRPr="00697289">
              <w:rPr>
                <w:sz w:val="23"/>
                <w:szCs w:val="23"/>
              </w:rPr>
              <w:t xml:space="preserve"> P</w:t>
            </w:r>
            <w:r>
              <w:rPr>
                <w:sz w:val="23"/>
                <w:szCs w:val="23"/>
              </w:rPr>
              <w:t>laza</w:t>
            </w:r>
            <w:r>
              <w:rPr>
                <w:sz w:val="23"/>
                <w:szCs w:val="23"/>
              </w:rPr>
              <w:br/>
            </w:r>
            <w:r w:rsidRPr="00697289">
              <w:rPr>
                <w:sz w:val="23"/>
                <w:szCs w:val="23"/>
              </w:rPr>
              <w:t>Birmingham, AL 35203</w:t>
            </w:r>
          </w:p>
        </w:tc>
      </w:tr>
      <w:tr w:rsidR="00741B77" w:rsidRPr="006124B8" w14:paraId="70A95995" w14:textId="77777777" w:rsidTr="00434FBA">
        <w:tc>
          <w:tcPr>
            <w:tcW w:w="6120" w:type="dxa"/>
            <w:gridSpan w:val="2"/>
            <w:tcBorders>
              <w:top w:val="nil"/>
              <w:left w:val="nil"/>
              <w:bottom w:val="nil"/>
              <w:right w:val="nil"/>
            </w:tcBorders>
            <w:vAlign w:val="center"/>
          </w:tcPr>
          <w:p w14:paraId="227153D2" w14:textId="3F03CA43" w:rsidR="00741B77" w:rsidRPr="006124B8" w:rsidRDefault="00741B77" w:rsidP="00F67FF9">
            <w:pPr>
              <w:pStyle w:val="AdditionalCounselNotice"/>
              <w:keepNext/>
              <w:keepLines/>
              <w:spacing w:before="60" w:after="60"/>
              <w:jc w:val="center"/>
              <w:rPr>
                <w:iCs/>
                <w:sz w:val="24"/>
                <w:szCs w:val="24"/>
              </w:rPr>
            </w:pPr>
            <w:r w:rsidRPr="006124B8">
              <w:rPr>
                <w:sz w:val="24"/>
                <w:szCs w:val="24"/>
              </w:rPr>
              <w:t xml:space="preserve">Counsel for </w:t>
            </w:r>
            <w:r w:rsidR="00776FEB">
              <w:rPr>
                <w:sz w:val="24"/>
                <w:szCs w:val="24"/>
              </w:rPr>
              <w:t>Amici</w:t>
            </w:r>
            <w:r w:rsidR="00F67FF9">
              <w:rPr>
                <w:sz w:val="24"/>
                <w:szCs w:val="24"/>
              </w:rPr>
              <w:t xml:space="preserve"> Curiae</w:t>
            </w:r>
          </w:p>
        </w:tc>
      </w:tr>
      <w:tr w:rsidR="00741B77" w:rsidRPr="006124B8" w14:paraId="1424E0E5" w14:textId="77777777" w:rsidTr="00434FBA">
        <w:tc>
          <w:tcPr>
            <w:tcW w:w="6120" w:type="dxa"/>
            <w:gridSpan w:val="2"/>
            <w:tcBorders>
              <w:top w:val="nil"/>
              <w:left w:val="nil"/>
              <w:bottom w:val="nil"/>
              <w:right w:val="nil"/>
            </w:tcBorders>
            <w:vAlign w:val="center"/>
          </w:tcPr>
          <w:p w14:paraId="2BDE8F1C" w14:textId="59967CC6" w:rsidR="00741B77" w:rsidRPr="006124B8" w:rsidRDefault="007607BC" w:rsidP="007A7247">
            <w:pPr>
              <w:pStyle w:val="AdditionalCounselNotice"/>
              <w:keepNext/>
              <w:keepLines/>
              <w:spacing w:before="60" w:after="60"/>
              <w:rPr>
                <w:i w:val="0"/>
                <w:sz w:val="24"/>
                <w:szCs w:val="24"/>
              </w:rPr>
            </w:pPr>
            <w:r>
              <w:rPr>
                <w:i w:val="0"/>
                <w:sz w:val="24"/>
                <w:szCs w:val="24"/>
              </w:rPr>
              <w:t>August 5</w:t>
            </w:r>
            <w:r w:rsidR="001E12C7">
              <w:rPr>
                <w:i w:val="0"/>
                <w:sz w:val="24"/>
                <w:szCs w:val="24"/>
              </w:rPr>
              <w:t>, 2014</w:t>
            </w:r>
          </w:p>
        </w:tc>
      </w:tr>
    </w:tbl>
    <w:p w14:paraId="65D45BC0" w14:textId="77777777" w:rsidR="00741B77" w:rsidRPr="00747681" w:rsidRDefault="00741B77" w:rsidP="007F6850">
      <w:pPr>
        <w:pStyle w:val="BodyText"/>
        <w:ind w:firstLine="0"/>
      </w:pPr>
    </w:p>
    <w:sectPr w:rsidR="00741B77" w:rsidRPr="00747681" w:rsidSect="00C2326D">
      <w:headerReference w:type="default" r:id="rId25"/>
      <w:pgSz w:w="12240" w:h="15840" w:code="1"/>
      <w:pgMar w:top="2880" w:right="3139" w:bottom="3024" w:left="3139" w:header="2304" w:footer="230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BFC27" w14:textId="77777777" w:rsidR="00047DCD" w:rsidRDefault="00047DCD" w:rsidP="00741B77">
      <w:r>
        <w:separator/>
      </w:r>
    </w:p>
  </w:endnote>
  <w:endnote w:type="continuationSeparator" w:id="0">
    <w:p w14:paraId="6FC059FB" w14:textId="77777777" w:rsidR="00047DCD" w:rsidRDefault="00047DCD" w:rsidP="00741B77">
      <w:r>
        <w:continuationSeparator/>
      </w:r>
    </w:p>
  </w:endnote>
  <w:endnote w:type="continuationNotice" w:id="1">
    <w:p w14:paraId="2279E07A" w14:textId="77777777" w:rsidR="00047DCD" w:rsidRDefault="00047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Old English Text MT">
    <w:altName w:val="Zapfino"/>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000E0" w14:textId="77777777" w:rsidR="00047DCD" w:rsidRDefault="00047DCD" w:rsidP="00741B77">
      <w:r>
        <w:separator/>
      </w:r>
    </w:p>
  </w:footnote>
  <w:footnote w:type="continuationSeparator" w:id="0">
    <w:p w14:paraId="50775561" w14:textId="77777777" w:rsidR="00047DCD" w:rsidRDefault="00047DCD" w:rsidP="00741B77">
      <w:r>
        <w:continuationSeparator/>
      </w:r>
    </w:p>
  </w:footnote>
  <w:footnote w:type="continuationNotice" w:id="1">
    <w:p w14:paraId="37D3FD2E" w14:textId="77777777" w:rsidR="00047DCD" w:rsidRDefault="00047DCD"/>
  </w:footnote>
  <w:footnote w:id="2">
    <w:p w14:paraId="024DCCC0" w14:textId="44EC72BB" w:rsidR="00E46120" w:rsidRPr="00280064" w:rsidRDefault="00E46120">
      <w:pPr>
        <w:pStyle w:val="FootnoteText"/>
      </w:pPr>
      <w:r>
        <w:rPr>
          <w:rStyle w:val="FootnoteReference"/>
        </w:rPr>
        <w:footnoteRef/>
      </w:r>
      <w:r>
        <w:t xml:space="preserve"> No counsel for any party authored this brief in whole or in part and no entity or person, aside from </w:t>
      </w:r>
      <w:r>
        <w:rPr>
          <w:i/>
        </w:rPr>
        <w:t>amici curiae</w:t>
      </w:r>
      <w:r>
        <w:t xml:space="preserve">, their members, and their counsel, made any monetary contribution toward the preparation or submission of this brief.  </w:t>
      </w:r>
      <w:proofErr w:type="gramStart"/>
      <w:r>
        <w:t>Counsel of record for all parties have</w:t>
      </w:r>
      <w:proofErr w:type="gramEnd"/>
      <w:r>
        <w:t xml:space="preserve"> consented to this filing in letters on file with the Clerk’s office.</w:t>
      </w:r>
    </w:p>
  </w:footnote>
  <w:footnote w:id="3">
    <w:p w14:paraId="5EE37BAE" w14:textId="52080222" w:rsidR="0040439B" w:rsidRDefault="0040439B" w:rsidP="00282688">
      <w:pPr>
        <w:pStyle w:val="FootnoteText"/>
      </w:pPr>
      <w:r>
        <w:rPr>
          <w:rStyle w:val="FootnoteReference"/>
        </w:rPr>
        <w:footnoteRef/>
      </w:r>
      <w:r>
        <w:t xml:space="preserve"> </w:t>
      </w:r>
      <w:r w:rsidR="00A87F7E">
        <w:t>Thi</w:t>
      </w:r>
      <w:r w:rsidR="00FA56F1">
        <w:t>s brief uses the phrase foreign income taxes to refer to all taxes paid to jurisdi</w:t>
      </w:r>
      <w:r w:rsidR="00357B65">
        <w:t xml:space="preserve">ctions other than to those where the taxpayer resides.  </w:t>
      </w:r>
      <w:r>
        <w:t>The decision below involves taxes paid to other States, but taxes paid to other countries present</w:t>
      </w:r>
      <w:r w:rsidR="00282688">
        <w:t xml:space="preserve"> the same issues of tax policy.  To the extent the law here implicates </w:t>
      </w:r>
      <w:r>
        <w:t xml:space="preserve">the domestic Commerce </w:t>
      </w:r>
      <w:proofErr w:type="gramStart"/>
      <w:r>
        <w:t>Clause</w:t>
      </w:r>
      <w:r w:rsidR="00282688">
        <w:t>,</w:t>
      </w:r>
      <w:proofErr w:type="gramEnd"/>
      <w:r w:rsidR="00282688">
        <w:t xml:space="preserve"> it would similarly implicate the foreign Commerce Clause</w:t>
      </w:r>
      <w:r>
        <w:t xml:space="preserve">.  </w:t>
      </w:r>
      <w:proofErr w:type="gramStart"/>
      <w:r w:rsidRPr="0040439B">
        <w:rPr>
          <w:i/>
        </w:rPr>
        <w:t>See Japan Line, Ltd. v. Los Angeles County</w:t>
      </w:r>
      <w:r>
        <w:t>, 441 U.S. 434, 451 (1979).</w:t>
      </w:r>
      <w:proofErr w:type="gramEnd"/>
    </w:p>
  </w:footnote>
  <w:footnote w:id="4">
    <w:p w14:paraId="4C0DA15A" w14:textId="1F133B2A" w:rsidR="006310FA" w:rsidRDefault="006310FA" w:rsidP="00657360">
      <w:pPr>
        <w:pStyle w:val="BodyText"/>
      </w:pPr>
      <w:r>
        <w:rPr>
          <w:rStyle w:val="FootnoteReference"/>
        </w:rPr>
        <w:footnoteRef/>
      </w:r>
      <w:r>
        <w:t xml:space="preserve"> </w:t>
      </w:r>
      <w:r w:rsidR="006677F0" w:rsidRPr="006677F0">
        <w:rPr>
          <w:sz w:val="20"/>
        </w:rPr>
        <w:t>Of course, this “disincentive” theory proves too much, as it can also be said that any State that imposes a non-discriminatory tax on non-resident income “creates a disincentive for the taxpayer … to conduct income-generating activities” there.  Indeed, if the foreign jurisdiction has no income tax or chooses not to tax Maryland residents’ income, there is no disincentive at all</w:t>
      </w:r>
      <w:r>
        <w:t>.</w:t>
      </w:r>
    </w:p>
  </w:footnote>
  <w:footnote w:id="5">
    <w:p w14:paraId="37F4D024" w14:textId="1A1BA65C" w:rsidR="00E46120" w:rsidRDefault="00E46120">
      <w:pPr>
        <w:pStyle w:val="FootnoteText"/>
      </w:pPr>
      <w:r>
        <w:rPr>
          <w:rStyle w:val="FootnoteReference"/>
        </w:rPr>
        <w:footnoteRef/>
      </w:r>
      <w:r>
        <w:t xml:space="preserve"> </w:t>
      </w:r>
      <w:r w:rsidRPr="00712E98">
        <w:t>http://www.phila.gov/Revenue/individuals/taxes/Pages/EarningsTax.aspx</w:t>
      </w:r>
    </w:p>
  </w:footnote>
  <w:footnote w:id="6">
    <w:p w14:paraId="70B81EA6" w14:textId="77777777" w:rsidR="00E46120" w:rsidRDefault="00E46120" w:rsidP="00D915A0">
      <w:pPr>
        <w:pStyle w:val="FootnoteText"/>
      </w:pPr>
      <w:r>
        <w:rPr>
          <w:rStyle w:val="FootnoteReference"/>
        </w:rPr>
        <w:footnoteRef/>
      </w:r>
      <w:r>
        <w:t xml:space="preserve"> </w:t>
      </w:r>
      <w:r w:rsidRPr="00411D67">
        <w:t>See http://www.ccatax.ci.cleveland.oh.us/Y2013/muniit.pdf (last</w:t>
      </w:r>
      <w:r>
        <w:t xml:space="preserve"> </w:t>
      </w:r>
      <w:r w:rsidRPr="00411D67">
        <w:t>accessed November 11, 2013);</w:t>
      </w:r>
      <w:r>
        <w:t xml:space="preserve"> </w:t>
      </w:r>
      <w:r w:rsidRPr="00411D67">
        <w:t>http://www.legislature.mi.gov/(S(mphllz55322neouolpmmk2ik))/mileg.aspx?page=getobject&amp;objectname=mcl-284-1964-2 (last accessed November 11, 2013); http://www.in.gov/dor/reference/files/ib32.pdf (last accessed November 11,</w:t>
      </w:r>
      <w:r>
        <w:t xml:space="preserve"> </w:t>
      </w:r>
      <w:r w:rsidRPr="00411D67">
        <w:t>2013); http://kcmo.org/idc/groups/finance/documents/finance/rd-109.pdf; http://www.slpl.lib.mo.us/cco/code/data/t0522.htm (last</w:t>
      </w:r>
      <w:r>
        <w:t xml:space="preserve"> </w:t>
      </w:r>
      <w:r w:rsidRPr="00411D67">
        <w:t>accessed November 11, 2013); http://www.wilmingtonde.gov/government/earnedincometax (last accessed November 11, 2013); http://www.phila.gov/Revenue/businesses/taxes/Pages/WageTax.aspx</w:t>
      </w:r>
      <w:r>
        <w:t xml:space="preserve"> </w:t>
      </w:r>
      <w:r w:rsidRPr="00411D67">
        <w:t>(last accessed November 11, 2013).</w:t>
      </w:r>
    </w:p>
  </w:footnote>
  <w:footnote w:id="7">
    <w:p w14:paraId="3783DD92" w14:textId="5C41EFBD" w:rsidR="00D21890" w:rsidRDefault="00D21890">
      <w:pPr>
        <w:pStyle w:val="FootnoteText"/>
      </w:pPr>
      <w:r>
        <w:rPr>
          <w:rStyle w:val="FootnoteReference"/>
        </w:rPr>
        <w:footnoteRef/>
      </w:r>
      <w:r>
        <w:t xml:space="preserve"> </w:t>
      </w:r>
      <w:r w:rsidR="00992DEE" w:rsidRPr="00992DEE">
        <w:t>Comptroller of Maryland, Nonresident Income Tax Rate</w:t>
      </w:r>
      <w:r w:rsidR="00992DEE">
        <w:t>,</w:t>
      </w:r>
      <w:r w:rsidR="00992DEE" w:rsidRPr="00992DEE">
        <w:t xml:space="preserve"> </w:t>
      </w:r>
      <w:hyperlink r:id="rId1" w:history="1">
        <w:r w:rsidRPr="00D21890">
          <w:rPr>
            <w:rStyle w:val="Hyperlink"/>
          </w:rPr>
          <w:t>http://taxes.marylandtaxes.com/Business_Taxes/Business_Tax_Types/Income_Tax/Employer_Withholding/Withholding_Information/Nonresident_Income_Tax_Rate.shtml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5F799" w14:textId="77777777" w:rsidR="00E46120" w:rsidRDefault="00E46120" w:rsidP="00741B7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2D450" w14:textId="77777777" w:rsidR="00E46120" w:rsidRDefault="00E46120" w:rsidP="00741B77">
    <w:pPr>
      <w:pStyle w:val="Header"/>
      <w:jc w:val="center"/>
    </w:pPr>
    <w:r>
      <w:fldChar w:fldCharType="begin"/>
    </w:r>
    <w:r>
      <w:instrText xml:space="preserve"> PAGE   \* MERGEFORMAT </w:instrText>
    </w:r>
    <w:r>
      <w:fldChar w:fldCharType="separate"/>
    </w:r>
    <w:r w:rsidR="00ED54D6">
      <w:rPr>
        <w:noProof/>
      </w:rPr>
      <w:t>ii</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4220D" w14:textId="77777777" w:rsidR="00E46120" w:rsidRDefault="00E46120" w:rsidP="00741B77">
    <w:pPr>
      <w:pStyle w:val="Header"/>
      <w:jc w:val="center"/>
    </w:pPr>
    <w:r>
      <w:fldChar w:fldCharType="begin"/>
    </w:r>
    <w:r>
      <w:instrText xml:space="preserve"> PAGE   \* MERGEFORMAT </w:instrText>
    </w:r>
    <w:r>
      <w:fldChar w:fldCharType="separate"/>
    </w:r>
    <w:r w:rsidR="00ED54D6">
      <w:rPr>
        <w:noProof/>
      </w:rPr>
      <w:t>27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084C7A"/>
    <w:lvl w:ilvl="0">
      <w:start w:val="1"/>
      <w:numFmt w:val="decimal"/>
      <w:lvlText w:val="%1."/>
      <w:lvlJc w:val="left"/>
      <w:pPr>
        <w:tabs>
          <w:tab w:val="num" w:pos="1800"/>
        </w:tabs>
        <w:ind w:left="1800" w:hanging="360"/>
      </w:pPr>
    </w:lvl>
  </w:abstractNum>
  <w:abstractNum w:abstractNumId="1">
    <w:nsid w:val="FFFFFF7D"/>
    <w:multiLevelType w:val="singleLevel"/>
    <w:tmpl w:val="57888178"/>
    <w:lvl w:ilvl="0">
      <w:start w:val="1"/>
      <w:numFmt w:val="decimal"/>
      <w:lvlText w:val="%1."/>
      <w:lvlJc w:val="left"/>
      <w:pPr>
        <w:tabs>
          <w:tab w:val="num" w:pos="1440"/>
        </w:tabs>
        <w:ind w:left="1440" w:hanging="360"/>
      </w:pPr>
    </w:lvl>
  </w:abstractNum>
  <w:abstractNum w:abstractNumId="2">
    <w:nsid w:val="FFFFFF7E"/>
    <w:multiLevelType w:val="singleLevel"/>
    <w:tmpl w:val="CD1427FE"/>
    <w:lvl w:ilvl="0">
      <w:start w:val="1"/>
      <w:numFmt w:val="decimal"/>
      <w:lvlText w:val="%1."/>
      <w:lvlJc w:val="left"/>
      <w:pPr>
        <w:tabs>
          <w:tab w:val="num" w:pos="1080"/>
        </w:tabs>
        <w:ind w:left="1080" w:hanging="360"/>
      </w:pPr>
    </w:lvl>
  </w:abstractNum>
  <w:abstractNum w:abstractNumId="3">
    <w:nsid w:val="FFFFFF7F"/>
    <w:multiLevelType w:val="singleLevel"/>
    <w:tmpl w:val="33D49E58"/>
    <w:lvl w:ilvl="0">
      <w:start w:val="1"/>
      <w:numFmt w:val="decimal"/>
      <w:lvlText w:val="%1."/>
      <w:lvlJc w:val="left"/>
      <w:pPr>
        <w:tabs>
          <w:tab w:val="num" w:pos="720"/>
        </w:tabs>
        <w:ind w:left="720" w:hanging="360"/>
      </w:pPr>
    </w:lvl>
  </w:abstractNum>
  <w:abstractNum w:abstractNumId="4">
    <w:nsid w:val="FFFFFF80"/>
    <w:multiLevelType w:val="singleLevel"/>
    <w:tmpl w:val="6B2CDD6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860D6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FA22E0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FEE5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F1E3ECE"/>
    <w:lvl w:ilvl="0">
      <w:start w:val="1"/>
      <w:numFmt w:val="decimal"/>
      <w:lvlText w:val="%1."/>
      <w:lvlJc w:val="left"/>
      <w:pPr>
        <w:tabs>
          <w:tab w:val="num" w:pos="360"/>
        </w:tabs>
        <w:ind w:left="360" w:hanging="360"/>
      </w:pPr>
    </w:lvl>
  </w:abstractNum>
  <w:abstractNum w:abstractNumId="9">
    <w:nsid w:val="FFFFFF89"/>
    <w:multiLevelType w:val="singleLevel"/>
    <w:tmpl w:val="2C0ACFF2"/>
    <w:lvl w:ilvl="0">
      <w:start w:val="1"/>
      <w:numFmt w:val="bullet"/>
      <w:lvlText w:val=""/>
      <w:lvlJc w:val="left"/>
      <w:pPr>
        <w:tabs>
          <w:tab w:val="num" w:pos="360"/>
        </w:tabs>
        <w:ind w:left="360" w:hanging="360"/>
      </w:pPr>
      <w:rPr>
        <w:rFonts w:ascii="Symbol" w:hAnsi="Symbol" w:hint="default"/>
      </w:rPr>
    </w:lvl>
  </w:abstractNum>
  <w:abstractNum w:abstractNumId="10">
    <w:nsid w:val="2A373242"/>
    <w:multiLevelType w:val="multilevel"/>
    <w:tmpl w:val="CCD6B5AE"/>
    <w:lvl w:ilvl="0">
      <w:start w:val="1"/>
      <w:numFmt w:val="none"/>
      <w:pStyle w:val="Heading1"/>
      <w:suff w:val="nothing"/>
      <w:lvlText w:val="%1"/>
      <w:lvlJc w:val="center"/>
      <w:pPr>
        <w:ind w:left="0" w:firstLine="0"/>
      </w:pPr>
      <w:rPr>
        <w:rFonts w:hint="default"/>
        <w:color w:val="000000"/>
        <w:u w:val="none"/>
      </w:rPr>
    </w:lvl>
    <w:lvl w:ilvl="1">
      <w:start w:val="1"/>
      <w:numFmt w:val="upperRoman"/>
      <w:pStyle w:val="Heading2"/>
      <w:lvlText w:val="%2."/>
      <w:lvlJc w:val="left"/>
      <w:pPr>
        <w:ind w:left="475" w:hanging="475"/>
      </w:pPr>
      <w:rPr>
        <w:rFonts w:hint="default"/>
        <w:i w:val="0"/>
        <w:color w:val="000000"/>
        <w:u w:val="none"/>
      </w:rPr>
    </w:lvl>
    <w:lvl w:ilvl="2">
      <w:start w:val="1"/>
      <w:numFmt w:val="upperLetter"/>
      <w:pStyle w:val="Heading3"/>
      <w:lvlText w:val="%3."/>
      <w:lvlJc w:val="left"/>
      <w:pPr>
        <w:ind w:left="950" w:hanging="475"/>
      </w:pPr>
      <w:rPr>
        <w:rFonts w:hint="default"/>
        <w:color w:val="000000"/>
        <w:u w:val="none"/>
      </w:rPr>
    </w:lvl>
    <w:lvl w:ilvl="3">
      <w:start w:val="1"/>
      <w:numFmt w:val="decimal"/>
      <w:pStyle w:val="Heading4"/>
      <w:lvlText w:val="%4."/>
      <w:lvlJc w:val="left"/>
      <w:pPr>
        <w:ind w:left="1440" w:hanging="490"/>
      </w:pPr>
      <w:rPr>
        <w:rFonts w:hint="default"/>
        <w:color w:val="000000"/>
        <w:u w:val="none"/>
      </w:rPr>
    </w:lvl>
    <w:lvl w:ilvl="4">
      <w:start w:val="1"/>
      <w:numFmt w:val="lowerLetter"/>
      <w:pStyle w:val="Heading5"/>
      <w:lvlText w:val="%5."/>
      <w:lvlJc w:val="left"/>
      <w:pPr>
        <w:ind w:left="1915" w:hanging="475"/>
      </w:pPr>
      <w:rPr>
        <w:rFonts w:hint="default"/>
        <w:color w:val="000000"/>
        <w:u w:val="none"/>
      </w:rPr>
    </w:lvl>
    <w:lvl w:ilvl="5">
      <w:start w:val="1"/>
      <w:numFmt w:val="lowerLetter"/>
      <w:pStyle w:val="Heading6"/>
      <w:lvlText w:val="(%6)"/>
      <w:lvlJc w:val="left"/>
      <w:pPr>
        <w:ind w:left="3600" w:firstLine="0"/>
      </w:pPr>
      <w:rPr>
        <w:rFonts w:hint="default"/>
        <w:color w:val="000000"/>
        <w:u w:val="none"/>
      </w:rPr>
    </w:lvl>
    <w:lvl w:ilvl="6">
      <w:start w:val="1"/>
      <w:numFmt w:val="lowerRoman"/>
      <w:pStyle w:val="Heading7"/>
      <w:lvlText w:val="(%7)"/>
      <w:lvlJc w:val="left"/>
      <w:pPr>
        <w:ind w:left="4320" w:firstLine="0"/>
      </w:pPr>
      <w:rPr>
        <w:rFonts w:hint="default"/>
        <w:color w:val="000000"/>
        <w:u w:val="none"/>
      </w:rPr>
    </w:lvl>
    <w:lvl w:ilvl="7">
      <w:start w:val="1"/>
      <w:numFmt w:val="lowerLetter"/>
      <w:pStyle w:val="Heading8"/>
      <w:lvlText w:val="(%8)"/>
      <w:lvlJc w:val="left"/>
      <w:pPr>
        <w:ind w:left="5040" w:firstLine="0"/>
      </w:pPr>
      <w:rPr>
        <w:rFonts w:hint="default"/>
        <w:color w:val="000000"/>
        <w:u w:val="none"/>
      </w:rPr>
    </w:lvl>
    <w:lvl w:ilvl="8">
      <w:start w:val="1"/>
      <w:numFmt w:val="lowerRoman"/>
      <w:pStyle w:val="Heading9"/>
      <w:lvlText w:val="(%9)"/>
      <w:lvlJc w:val="left"/>
      <w:pPr>
        <w:ind w:left="5760" w:firstLine="0"/>
      </w:pPr>
      <w:rPr>
        <w:rFonts w:hint="default"/>
        <w:color w:val="000000"/>
        <w:u w:val="none"/>
      </w:rPr>
    </w:lvl>
  </w:abstractNum>
  <w:abstractNum w:abstractNumId="11">
    <w:nsid w:val="46F01D02"/>
    <w:multiLevelType w:val="hybridMultilevel"/>
    <w:tmpl w:val="063A2EAC"/>
    <w:lvl w:ilvl="0" w:tplc="8F4E37C2">
      <w:start w:val="1"/>
      <w:numFmt w:val="bullet"/>
      <w:pStyle w:val="ListParagraph"/>
      <w:lvlText w:val=""/>
      <w:lvlJc w:val="left"/>
      <w:pPr>
        <w:ind w:left="90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9272218"/>
    <w:multiLevelType w:val="singleLevel"/>
    <w:tmpl w:val="0F2EDCDC"/>
    <w:lvl w:ilvl="0">
      <w:start w:val="1"/>
      <w:numFmt w:val="bullet"/>
      <w:lvlText w:val=""/>
      <w:lvlJc w:val="left"/>
      <w:pPr>
        <w:tabs>
          <w:tab w:val="num" w:pos="720"/>
        </w:tabs>
        <w:ind w:left="720" w:hanging="360"/>
      </w:pPr>
      <w:rPr>
        <w:rFonts w:ascii="Symbol" w:hAnsi="Symbol" w:hint="default"/>
      </w:rPr>
    </w:lvl>
  </w:abstractNum>
  <w:abstractNum w:abstractNumId="13">
    <w:nsid w:val="546C77DB"/>
    <w:multiLevelType w:val="hybridMultilevel"/>
    <w:tmpl w:val="29D8BD0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50A21EF"/>
    <w:multiLevelType w:val="hybridMultilevel"/>
    <w:tmpl w:val="F2CE8AD2"/>
    <w:lvl w:ilvl="0" w:tplc="D62E41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425B5C"/>
    <w:multiLevelType w:val="multilevel"/>
    <w:tmpl w:val="619C0E2C"/>
    <w:lvl w:ilvl="0">
      <w:start w:val="1"/>
      <w:numFmt w:val="none"/>
      <w:suff w:val="nothing"/>
      <w:lvlText w:val="%1"/>
      <w:lvlJc w:val="center"/>
      <w:pPr>
        <w:ind w:left="0" w:firstLine="0"/>
      </w:pPr>
      <w:rPr>
        <w:rFonts w:hint="default"/>
      </w:rPr>
    </w:lvl>
    <w:lvl w:ilvl="1">
      <w:start w:val="1"/>
      <w:numFmt w:val="upperRoman"/>
      <w:lvlText w:val="%2."/>
      <w:lvlJc w:val="left"/>
      <w:pPr>
        <w:ind w:left="720" w:hanging="72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nsid w:val="6EC25663"/>
    <w:multiLevelType w:val="hybridMultilevel"/>
    <w:tmpl w:val="A3CC6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F4681B"/>
    <w:multiLevelType w:val="hybridMultilevel"/>
    <w:tmpl w:val="29D8BD0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2"/>
  </w:num>
  <w:num w:numId="3">
    <w:abstractNumId w:val="15"/>
  </w:num>
  <w:num w:numId="4">
    <w:abstractNumId w:val="7"/>
  </w:num>
  <w:num w:numId="5">
    <w:abstractNumId w:val="9"/>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7"/>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DF4"/>
    <w:rsid w:val="00006FFA"/>
    <w:rsid w:val="00013329"/>
    <w:rsid w:val="00014D3C"/>
    <w:rsid w:val="00014E29"/>
    <w:rsid w:val="00017F42"/>
    <w:rsid w:val="00020496"/>
    <w:rsid w:val="00022839"/>
    <w:rsid w:val="0002656C"/>
    <w:rsid w:val="0003198F"/>
    <w:rsid w:val="000326C5"/>
    <w:rsid w:val="000350AB"/>
    <w:rsid w:val="00035EB1"/>
    <w:rsid w:val="00036A17"/>
    <w:rsid w:val="00046C2C"/>
    <w:rsid w:val="00047DCD"/>
    <w:rsid w:val="000518C2"/>
    <w:rsid w:val="00052161"/>
    <w:rsid w:val="00063CD1"/>
    <w:rsid w:val="000644EE"/>
    <w:rsid w:val="00065419"/>
    <w:rsid w:val="00066574"/>
    <w:rsid w:val="00070EEF"/>
    <w:rsid w:val="000729C9"/>
    <w:rsid w:val="00073CCE"/>
    <w:rsid w:val="0008184E"/>
    <w:rsid w:val="00086C65"/>
    <w:rsid w:val="0008704B"/>
    <w:rsid w:val="000913A1"/>
    <w:rsid w:val="000955C4"/>
    <w:rsid w:val="0009682A"/>
    <w:rsid w:val="00096F21"/>
    <w:rsid w:val="00096FE1"/>
    <w:rsid w:val="000A17BD"/>
    <w:rsid w:val="000A6AB6"/>
    <w:rsid w:val="000B0516"/>
    <w:rsid w:val="000B098D"/>
    <w:rsid w:val="000B09CA"/>
    <w:rsid w:val="000B7663"/>
    <w:rsid w:val="000B7714"/>
    <w:rsid w:val="000C3BB1"/>
    <w:rsid w:val="000C5C1C"/>
    <w:rsid w:val="000C698A"/>
    <w:rsid w:val="000C7491"/>
    <w:rsid w:val="000D1E23"/>
    <w:rsid w:val="000D27F8"/>
    <w:rsid w:val="000E723B"/>
    <w:rsid w:val="000F0910"/>
    <w:rsid w:val="000F3D1C"/>
    <w:rsid w:val="000F7621"/>
    <w:rsid w:val="000F77E3"/>
    <w:rsid w:val="00101432"/>
    <w:rsid w:val="00106AFC"/>
    <w:rsid w:val="00116CE4"/>
    <w:rsid w:val="00117C73"/>
    <w:rsid w:val="001249E8"/>
    <w:rsid w:val="0013001B"/>
    <w:rsid w:val="00130105"/>
    <w:rsid w:val="00134A72"/>
    <w:rsid w:val="001373FD"/>
    <w:rsid w:val="001378CD"/>
    <w:rsid w:val="001379E1"/>
    <w:rsid w:val="00153975"/>
    <w:rsid w:val="00164117"/>
    <w:rsid w:val="00165924"/>
    <w:rsid w:val="0016657F"/>
    <w:rsid w:val="001673CF"/>
    <w:rsid w:val="001703ED"/>
    <w:rsid w:val="00170448"/>
    <w:rsid w:val="001706BE"/>
    <w:rsid w:val="00170A5F"/>
    <w:rsid w:val="00173FA7"/>
    <w:rsid w:val="001765DF"/>
    <w:rsid w:val="00177797"/>
    <w:rsid w:val="00193213"/>
    <w:rsid w:val="001A0D86"/>
    <w:rsid w:val="001A1132"/>
    <w:rsid w:val="001A18F7"/>
    <w:rsid w:val="001A3E3F"/>
    <w:rsid w:val="001A5597"/>
    <w:rsid w:val="001B46C5"/>
    <w:rsid w:val="001B6847"/>
    <w:rsid w:val="001B7887"/>
    <w:rsid w:val="001C1A61"/>
    <w:rsid w:val="001C2914"/>
    <w:rsid w:val="001C768F"/>
    <w:rsid w:val="001D600F"/>
    <w:rsid w:val="001E0B75"/>
    <w:rsid w:val="001E12C7"/>
    <w:rsid w:val="001E24A0"/>
    <w:rsid w:val="001F30A1"/>
    <w:rsid w:val="001F3990"/>
    <w:rsid w:val="00202826"/>
    <w:rsid w:val="00205307"/>
    <w:rsid w:val="0020641E"/>
    <w:rsid w:val="002149A1"/>
    <w:rsid w:val="00215FE1"/>
    <w:rsid w:val="00227D24"/>
    <w:rsid w:val="002303E7"/>
    <w:rsid w:val="0023289C"/>
    <w:rsid w:val="002343AE"/>
    <w:rsid w:val="002356F2"/>
    <w:rsid w:val="00237639"/>
    <w:rsid w:val="00240FBD"/>
    <w:rsid w:val="002422C9"/>
    <w:rsid w:val="00246E01"/>
    <w:rsid w:val="00250C9E"/>
    <w:rsid w:val="00252705"/>
    <w:rsid w:val="00253B6E"/>
    <w:rsid w:val="00256FC0"/>
    <w:rsid w:val="00257326"/>
    <w:rsid w:val="00266A87"/>
    <w:rsid w:val="0027071C"/>
    <w:rsid w:val="00270D5D"/>
    <w:rsid w:val="00276F90"/>
    <w:rsid w:val="00280064"/>
    <w:rsid w:val="002803AF"/>
    <w:rsid w:val="00282688"/>
    <w:rsid w:val="002827A2"/>
    <w:rsid w:val="002837E2"/>
    <w:rsid w:val="00292268"/>
    <w:rsid w:val="00294735"/>
    <w:rsid w:val="00294B54"/>
    <w:rsid w:val="002A2C63"/>
    <w:rsid w:val="002A5ED7"/>
    <w:rsid w:val="002A730A"/>
    <w:rsid w:val="002A7FB4"/>
    <w:rsid w:val="002B00AC"/>
    <w:rsid w:val="002B296F"/>
    <w:rsid w:val="002B4817"/>
    <w:rsid w:val="002C2842"/>
    <w:rsid w:val="002D215A"/>
    <w:rsid w:val="002D3107"/>
    <w:rsid w:val="002D551A"/>
    <w:rsid w:val="002D707D"/>
    <w:rsid w:val="002E1B40"/>
    <w:rsid w:val="002E56A1"/>
    <w:rsid w:val="002F0F00"/>
    <w:rsid w:val="002F1262"/>
    <w:rsid w:val="002F2F3B"/>
    <w:rsid w:val="002F6053"/>
    <w:rsid w:val="00300870"/>
    <w:rsid w:val="00300E9C"/>
    <w:rsid w:val="00304653"/>
    <w:rsid w:val="00311AB8"/>
    <w:rsid w:val="003131A8"/>
    <w:rsid w:val="00313EB6"/>
    <w:rsid w:val="00314290"/>
    <w:rsid w:val="00316E53"/>
    <w:rsid w:val="00321E15"/>
    <w:rsid w:val="00321EF8"/>
    <w:rsid w:val="00326DE2"/>
    <w:rsid w:val="00330D7B"/>
    <w:rsid w:val="00340A43"/>
    <w:rsid w:val="00343B89"/>
    <w:rsid w:val="00343E06"/>
    <w:rsid w:val="0034459E"/>
    <w:rsid w:val="00344F6A"/>
    <w:rsid w:val="00346071"/>
    <w:rsid w:val="003460B3"/>
    <w:rsid w:val="00347706"/>
    <w:rsid w:val="0034796C"/>
    <w:rsid w:val="003518BB"/>
    <w:rsid w:val="0035198F"/>
    <w:rsid w:val="00354809"/>
    <w:rsid w:val="00354F72"/>
    <w:rsid w:val="0035565B"/>
    <w:rsid w:val="00355FB0"/>
    <w:rsid w:val="00357B65"/>
    <w:rsid w:val="00357BC2"/>
    <w:rsid w:val="00361A69"/>
    <w:rsid w:val="003630B8"/>
    <w:rsid w:val="00363A06"/>
    <w:rsid w:val="00365D21"/>
    <w:rsid w:val="00372951"/>
    <w:rsid w:val="00373DE0"/>
    <w:rsid w:val="00383950"/>
    <w:rsid w:val="00384F4A"/>
    <w:rsid w:val="003856E7"/>
    <w:rsid w:val="00386036"/>
    <w:rsid w:val="003902FE"/>
    <w:rsid w:val="00392361"/>
    <w:rsid w:val="00393F5F"/>
    <w:rsid w:val="00395B04"/>
    <w:rsid w:val="003A38F0"/>
    <w:rsid w:val="003A4EE5"/>
    <w:rsid w:val="003B0016"/>
    <w:rsid w:val="003B2C7E"/>
    <w:rsid w:val="003B57C4"/>
    <w:rsid w:val="003C3AA1"/>
    <w:rsid w:val="003C537B"/>
    <w:rsid w:val="003C61AB"/>
    <w:rsid w:val="003D200E"/>
    <w:rsid w:val="003D21D9"/>
    <w:rsid w:val="003D2707"/>
    <w:rsid w:val="003D603D"/>
    <w:rsid w:val="003D6A09"/>
    <w:rsid w:val="003E088C"/>
    <w:rsid w:val="003E1DEF"/>
    <w:rsid w:val="003E2C2B"/>
    <w:rsid w:val="003E421C"/>
    <w:rsid w:val="003E531A"/>
    <w:rsid w:val="003F0088"/>
    <w:rsid w:val="003F287A"/>
    <w:rsid w:val="003F3ACD"/>
    <w:rsid w:val="003F4965"/>
    <w:rsid w:val="003F5DED"/>
    <w:rsid w:val="003F6824"/>
    <w:rsid w:val="003F6F9D"/>
    <w:rsid w:val="0040402C"/>
    <w:rsid w:val="0040439B"/>
    <w:rsid w:val="00407224"/>
    <w:rsid w:val="004121FA"/>
    <w:rsid w:val="00415AB0"/>
    <w:rsid w:val="00417D5E"/>
    <w:rsid w:val="004250F5"/>
    <w:rsid w:val="0042645C"/>
    <w:rsid w:val="0043304B"/>
    <w:rsid w:val="0043498C"/>
    <w:rsid w:val="00434FBA"/>
    <w:rsid w:val="004360D2"/>
    <w:rsid w:val="00442C3A"/>
    <w:rsid w:val="00454113"/>
    <w:rsid w:val="00455014"/>
    <w:rsid w:val="004555CC"/>
    <w:rsid w:val="00460189"/>
    <w:rsid w:val="004612CC"/>
    <w:rsid w:val="00461EA7"/>
    <w:rsid w:val="004625BD"/>
    <w:rsid w:val="00462DF4"/>
    <w:rsid w:val="00467721"/>
    <w:rsid w:val="00472791"/>
    <w:rsid w:val="00473283"/>
    <w:rsid w:val="004739C4"/>
    <w:rsid w:val="00477685"/>
    <w:rsid w:val="004801F6"/>
    <w:rsid w:val="0048227A"/>
    <w:rsid w:val="0048648F"/>
    <w:rsid w:val="00487ADB"/>
    <w:rsid w:val="0049261A"/>
    <w:rsid w:val="004945B0"/>
    <w:rsid w:val="004948E6"/>
    <w:rsid w:val="00495F08"/>
    <w:rsid w:val="00497FD0"/>
    <w:rsid w:val="004A2199"/>
    <w:rsid w:val="004A74B3"/>
    <w:rsid w:val="004C58BC"/>
    <w:rsid w:val="004D11B8"/>
    <w:rsid w:val="004D385B"/>
    <w:rsid w:val="004D5D65"/>
    <w:rsid w:val="004D68C8"/>
    <w:rsid w:val="004D6CFF"/>
    <w:rsid w:val="004E2921"/>
    <w:rsid w:val="004E2EEE"/>
    <w:rsid w:val="004E39EC"/>
    <w:rsid w:val="004E4D72"/>
    <w:rsid w:val="004E59DB"/>
    <w:rsid w:val="004E7175"/>
    <w:rsid w:val="004F0F7E"/>
    <w:rsid w:val="004F16E1"/>
    <w:rsid w:val="004F1DD3"/>
    <w:rsid w:val="004F5760"/>
    <w:rsid w:val="00500A99"/>
    <w:rsid w:val="00502508"/>
    <w:rsid w:val="00503136"/>
    <w:rsid w:val="00503456"/>
    <w:rsid w:val="0050403B"/>
    <w:rsid w:val="00507511"/>
    <w:rsid w:val="005103AD"/>
    <w:rsid w:val="00514365"/>
    <w:rsid w:val="00514871"/>
    <w:rsid w:val="005159BA"/>
    <w:rsid w:val="00516AE1"/>
    <w:rsid w:val="0052035B"/>
    <w:rsid w:val="00521BD5"/>
    <w:rsid w:val="00523B98"/>
    <w:rsid w:val="0052648A"/>
    <w:rsid w:val="0052766F"/>
    <w:rsid w:val="00527C4E"/>
    <w:rsid w:val="00531073"/>
    <w:rsid w:val="00534DAE"/>
    <w:rsid w:val="005359AB"/>
    <w:rsid w:val="0054144C"/>
    <w:rsid w:val="00541E5D"/>
    <w:rsid w:val="0054463B"/>
    <w:rsid w:val="00544E1E"/>
    <w:rsid w:val="005455A0"/>
    <w:rsid w:val="0054678C"/>
    <w:rsid w:val="005479CE"/>
    <w:rsid w:val="00547F4B"/>
    <w:rsid w:val="00553545"/>
    <w:rsid w:val="00553BD6"/>
    <w:rsid w:val="00554D00"/>
    <w:rsid w:val="00556AC5"/>
    <w:rsid w:val="0056092C"/>
    <w:rsid w:val="00560C81"/>
    <w:rsid w:val="00561262"/>
    <w:rsid w:val="005619EB"/>
    <w:rsid w:val="0057331A"/>
    <w:rsid w:val="005749EA"/>
    <w:rsid w:val="00574F72"/>
    <w:rsid w:val="005756AE"/>
    <w:rsid w:val="00577445"/>
    <w:rsid w:val="00577B12"/>
    <w:rsid w:val="0058081B"/>
    <w:rsid w:val="005812B1"/>
    <w:rsid w:val="00587B00"/>
    <w:rsid w:val="005914EE"/>
    <w:rsid w:val="00592CB7"/>
    <w:rsid w:val="0059465A"/>
    <w:rsid w:val="005948EB"/>
    <w:rsid w:val="0059502E"/>
    <w:rsid w:val="00596EA6"/>
    <w:rsid w:val="00597858"/>
    <w:rsid w:val="005A1122"/>
    <w:rsid w:val="005A42AF"/>
    <w:rsid w:val="005B0875"/>
    <w:rsid w:val="005B2652"/>
    <w:rsid w:val="005B5FD7"/>
    <w:rsid w:val="005B726F"/>
    <w:rsid w:val="005B7A08"/>
    <w:rsid w:val="005C22F3"/>
    <w:rsid w:val="005C23F6"/>
    <w:rsid w:val="005D284F"/>
    <w:rsid w:val="005D4062"/>
    <w:rsid w:val="005D4F99"/>
    <w:rsid w:val="005D758F"/>
    <w:rsid w:val="005E1541"/>
    <w:rsid w:val="005E466D"/>
    <w:rsid w:val="005E5F88"/>
    <w:rsid w:val="005E6E1C"/>
    <w:rsid w:val="005F4D49"/>
    <w:rsid w:val="00600D27"/>
    <w:rsid w:val="00601A6A"/>
    <w:rsid w:val="0060798A"/>
    <w:rsid w:val="00607B87"/>
    <w:rsid w:val="00611DDA"/>
    <w:rsid w:val="006144AA"/>
    <w:rsid w:val="00615D30"/>
    <w:rsid w:val="00615E57"/>
    <w:rsid w:val="006215BE"/>
    <w:rsid w:val="00621AC2"/>
    <w:rsid w:val="006235ED"/>
    <w:rsid w:val="006310FA"/>
    <w:rsid w:val="0063706F"/>
    <w:rsid w:val="00637D4A"/>
    <w:rsid w:val="00640220"/>
    <w:rsid w:val="00640FDA"/>
    <w:rsid w:val="00641F90"/>
    <w:rsid w:val="006435D4"/>
    <w:rsid w:val="00643E2E"/>
    <w:rsid w:val="006452CB"/>
    <w:rsid w:val="00647A67"/>
    <w:rsid w:val="00650A2D"/>
    <w:rsid w:val="00652B3F"/>
    <w:rsid w:val="00652EB8"/>
    <w:rsid w:val="00654353"/>
    <w:rsid w:val="00655478"/>
    <w:rsid w:val="00657360"/>
    <w:rsid w:val="006677F0"/>
    <w:rsid w:val="00671BE3"/>
    <w:rsid w:val="0067287D"/>
    <w:rsid w:val="00674BF6"/>
    <w:rsid w:val="00675437"/>
    <w:rsid w:val="00675BC1"/>
    <w:rsid w:val="0067653C"/>
    <w:rsid w:val="00677D7A"/>
    <w:rsid w:val="00680FB3"/>
    <w:rsid w:val="00687722"/>
    <w:rsid w:val="00690634"/>
    <w:rsid w:val="00693B17"/>
    <w:rsid w:val="00694F2B"/>
    <w:rsid w:val="006955D4"/>
    <w:rsid w:val="0069582F"/>
    <w:rsid w:val="00695CCD"/>
    <w:rsid w:val="00697289"/>
    <w:rsid w:val="006A258F"/>
    <w:rsid w:val="006A3964"/>
    <w:rsid w:val="006A3F23"/>
    <w:rsid w:val="006A447F"/>
    <w:rsid w:val="006A45CE"/>
    <w:rsid w:val="006A6307"/>
    <w:rsid w:val="006B0C3A"/>
    <w:rsid w:val="006B7EB8"/>
    <w:rsid w:val="006C1253"/>
    <w:rsid w:val="006C1331"/>
    <w:rsid w:val="006C1C28"/>
    <w:rsid w:val="006C5266"/>
    <w:rsid w:val="006D0BEB"/>
    <w:rsid w:val="006D58E3"/>
    <w:rsid w:val="006D6D45"/>
    <w:rsid w:val="006E17FE"/>
    <w:rsid w:val="006E1E63"/>
    <w:rsid w:val="006E257E"/>
    <w:rsid w:val="006E78FC"/>
    <w:rsid w:val="006E79CC"/>
    <w:rsid w:val="006F00AF"/>
    <w:rsid w:val="006F3592"/>
    <w:rsid w:val="006F5967"/>
    <w:rsid w:val="006F6C71"/>
    <w:rsid w:val="00700C0F"/>
    <w:rsid w:val="00700C5C"/>
    <w:rsid w:val="00701734"/>
    <w:rsid w:val="00705099"/>
    <w:rsid w:val="00707CC8"/>
    <w:rsid w:val="00710D93"/>
    <w:rsid w:val="0071117E"/>
    <w:rsid w:val="00712E98"/>
    <w:rsid w:val="00712EA3"/>
    <w:rsid w:val="0071405D"/>
    <w:rsid w:val="00720CDC"/>
    <w:rsid w:val="00724239"/>
    <w:rsid w:val="007301C9"/>
    <w:rsid w:val="00735CE8"/>
    <w:rsid w:val="00736D34"/>
    <w:rsid w:val="00741987"/>
    <w:rsid w:val="00741B77"/>
    <w:rsid w:val="007448EF"/>
    <w:rsid w:val="00745701"/>
    <w:rsid w:val="007458ED"/>
    <w:rsid w:val="00746234"/>
    <w:rsid w:val="0074679E"/>
    <w:rsid w:val="00747681"/>
    <w:rsid w:val="0074782B"/>
    <w:rsid w:val="0074792B"/>
    <w:rsid w:val="00751261"/>
    <w:rsid w:val="00752730"/>
    <w:rsid w:val="007604CA"/>
    <w:rsid w:val="007607BC"/>
    <w:rsid w:val="00763AF3"/>
    <w:rsid w:val="00770795"/>
    <w:rsid w:val="0077392A"/>
    <w:rsid w:val="00774824"/>
    <w:rsid w:val="00774887"/>
    <w:rsid w:val="00774F4B"/>
    <w:rsid w:val="00775489"/>
    <w:rsid w:val="00776FEB"/>
    <w:rsid w:val="00784544"/>
    <w:rsid w:val="00785277"/>
    <w:rsid w:val="00786865"/>
    <w:rsid w:val="00791364"/>
    <w:rsid w:val="00791C47"/>
    <w:rsid w:val="00795AC8"/>
    <w:rsid w:val="00795F27"/>
    <w:rsid w:val="0079601A"/>
    <w:rsid w:val="00797602"/>
    <w:rsid w:val="007A005A"/>
    <w:rsid w:val="007A1277"/>
    <w:rsid w:val="007A2E76"/>
    <w:rsid w:val="007A7247"/>
    <w:rsid w:val="007B42A8"/>
    <w:rsid w:val="007B4510"/>
    <w:rsid w:val="007B51DB"/>
    <w:rsid w:val="007B763C"/>
    <w:rsid w:val="007C04DC"/>
    <w:rsid w:val="007C54E6"/>
    <w:rsid w:val="007D12CA"/>
    <w:rsid w:val="007D2C2A"/>
    <w:rsid w:val="007D470A"/>
    <w:rsid w:val="007D60EC"/>
    <w:rsid w:val="007D647E"/>
    <w:rsid w:val="007D7D78"/>
    <w:rsid w:val="007E1144"/>
    <w:rsid w:val="007E32DA"/>
    <w:rsid w:val="007E56FC"/>
    <w:rsid w:val="007E5835"/>
    <w:rsid w:val="007E652A"/>
    <w:rsid w:val="007F1B08"/>
    <w:rsid w:val="007F2049"/>
    <w:rsid w:val="007F6850"/>
    <w:rsid w:val="007F7F42"/>
    <w:rsid w:val="00802CDD"/>
    <w:rsid w:val="00803387"/>
    <w:rsid w:val="00803BD8"/>
    <w:rsid w:val="00804A0D"/>
    <w:rsid w:val="00804D12"/>
    <w:rsid w:val="00804D6C"/>
    <w:rsid w:val="0081098A"/>
    <w:rsid w:val="00816225"/>
    <w:rsid w:val="0081796A"/>
    <w:rsid w:val="008204F4"/>
    <w:rsid w:val="0082075B"/>
    <w:rsid w:val="00823159"/>
    <w:rsid w:val="008233DC"/>
    <w:rsid w:val="008243FF"/>
    <w:rsid w:val="00827B44"/>
    <w:rsid w:val="00831898"/>
    <w:rsid w:val="008350FC"/>
    <w:rsid w:val="008408AC"/>
    <w:rsid w:val="00844FCA"/>
    <w:rsid w:val="008451DE"/>
    <w:rsid w:val="00845E45"/>
    <w:rsid w:val="008469DB"/>
    <w:rsid w:val="00853D9C"/>
    <w:rsid w:val="008568B0"/>
    <w:rsid w:val="00856ABF"/>
    <w:rsid w:val="00865805"/>
    <w:rsid w:val="0086631C"/>
    <w:rsid w:val="00871B91"/>
    <w:rsid w:val="00873B13"/>
    <w:rsid w:val="0087409E"/>
    <w:rsid w:val="00874255"/>
    <w:rsid w:val="008757E9"/>
    <w:rsid w:val="00875FFE"/>
    <w:rsid w:val="0087779D"/>
    <w:rsid w:val="0088062D"/>
    <w:rsid w:val="0088537B"/>
    <w:rsid w:val="00886317"/>
    <w:rsid w:val="00887702"/>
    <w:rsid w:val="008945EF"/>
    <w:rsid w:val="00895400"/>
    <w:rsid w:val="008958D0"/>
    <w:rsid w:val="008974BB"/>
    <w:rsid w:val="008A3A7C"/>
    <w:rsid w:val="008A3E12"/>
    <w:rsid w:val="008A67AE"/>
    <w:rsid w:val="008B112B"/>
    <w:rsid w:val="008B2AC9"/>
    <w:rsid w:val="008B2F77"/>
    <w:rsid w:val="008B6099"/>
    <w:rsid w:val="008B7AC2"/>
    <w:rsid w:val="008C1019"/>
    <w:rsid w:val="008C2190"/>
    <w:rsid w:val="008C32DF"/>
    <w:rsid w:val="008C36B1"/>
    <w:rsid w:val="008C75DD"/>
    <w:rsid w:val="008C79BF"/>
    <w:rsid w:val="008D04E4"/>
    <w:rsid w:val="008D2A40"/>
    <w:rsid w:val="008E1F47"/>
    <w:rsid w:val="008E5B00"/>
    <w:rsid w:val="008F04C1"/>
    <w:rsid w:val="008F1B8C"/>
    <w:rsid w:val="008F26C7"/>
    <w:rsid w:val="008F41BB"/>
    <w:rsid w:val="008F5729"/>
    <w:rsid w:val="008F7B07"/>
    <w:rsid w:val="009016E5"/>
    <w:rsid w:val="00904406"/>
    <w:rsid w:val="00906957"/>
    <w:rsid w:val="00907120"/>
    <w:rsid w:val="00910A1F"/>
    <w:rsid w:val="00910E6A"/>
    <w:rsid w:val="009127BB"/>
    <w:rsid w:val="00913DE9"/>
    <w:rsid w:val="00915285"/>
    <w:rsid w:val="00923B7E"/>
    <w:rsid w:val="009241FD"/>
    <w:rsid w:val="00926950"/>
    <w:rsid w:val="00930A27"/>
    <w:rsid w:val="009352CB"/>
    <w:rsid w:val="00935E95"/>
    <w:rsid w:val="009510C5"/>
    <w:rsid w:val="009524CB"/>
    <w:rsid w:val="00956A27"/>
    <w:rsid w:val="00961055"/>
    <w:rsid w:val="00965ADF"/>
    <w:rsid w:val="00967ACE"/>
    <w:rsid w:val="00970193"/>
    <w:rsid w:val="009742A4"/>
    <w:rsid w:val="009770B2"/>
    <w:rsid w:val="00980ABB"/>
    <w:rsid w:val="00981D34"/>
    <w:rsid w:val="0098290A"/>
    <w:rsid w:val="0098711F"/>
    <w:rsid w:val="00987E49"/>
    <w:rsid w:val="00992DEE"/>
    <w:rsid w:val="00992F00"/>
    <w:rsid w:val="00995FB2"/>
    <w:rsid w:val="009A34FE"/>
    <w:rsid w:val="009A6844"/>
    <w:rsid w:val="009B380D"/>
    <w:rsid w:val="009B723C"/>
    <w:rsid w:val="009C31B9"/>
    <w:rsid w:val="009C35B1"/>
    <w:rsid w:val="009C4341"/>
    <w:rsid w:val="009C5D7F"/>
    <w:rsid w:val="009D566B"/>
    <w:rsid w:val="009E0C14"/>
    <w:rsid w:val="009E18E8"/>
    <w:rsid w:val="009E23FD"/>
    <w:rsid w:val="009E301C"/>
    <w:rsid w:val="009E44B5"/>
    <w:rsid w:val="009F0454"/>
    <w:rsid w:val="009F1067"/>
    <w:rsid w:val="009F2E5C"/>
    <w:rsid w:val="009F5621"/>
    <w:rsid w:val="00A01AF4"/>
    <w:rsid w:val="00A03603"/>
    <w:rsid w:val="00A059BF"/>
    <w:rsid w:val="00A121AC"/>
    <w:rsid w:val="00A14849"/>
    <w:rsid w:val="00A15E9E"/>
    <w:rsid w:val="00A22E02"/>
    <w:rsid w:val="00A22F5B"/>
    <w:rsid w:val="00A2400E"/>
    <w:rsid w:val="00A24F5C"/>
    <w:rsid w:val="00A37A3E"/>
    <w:rsid w:val="00A37C9F"/>
    <w:rsid w:val="00A40B7F"/>
    <w:rsid w:val="00A4165C"/>
    <w:rsid w:val="00A41863"/>
    <w:rsid w:val="00A43AEE"/>
    <w:rsid w:val="00A50E98"/>
    <w:rsid w:val="00A5484C"/>
    <w:rsid w:val="00A54CE4"/>
    <w:rsid w:val="00A562DB"/>
    <w:rsid w:val="00A5686C"/>
    <w:rsid w:val="00A62DF4"/>
    <w:rsid w:val="00A67406"/>
    <w:rsid w:val="00A67581"/>
    <w:rsid w:val="00A67D2F"/>
    <w:rsid w:val="00A67EEE"/>
    <w:rsid w:val="00A7013A"/>
    <w:rsid w:val="00A7355E"/>
    <w:rsid w:val="00A767FB"/>
    <w:rsid w:val="00A76CD4"/>
    <w:rsid w:val="00A8067F"/>
    <w:rsid w:val="00A80EDC"/>
    <w:rsid w:val="00A82F86"/>
    <w:rsid w:val="00A87F7E"/>
    <w:rsid w:val="00A91738"/>
    <w:rsid w:val="00A969DC"/>
    <w:rsid w:val="00AA09EC"/>
    <w:rsid w:val="00AA1FD2"/>
    <w:rsid w:val="00AA319E"/>
    <w:rsid w:val="00AA3238"/>
    <w:rsid w:val="00AA5A26"/>
    <w:rsid w:val="00AA7980"/>
    <w:rsid w:val="00AB059D"/>
    <w:rsid w:val="00AB25A4"/>
    <w:rsid w:val="00AB4DE0"/>
    <w:rsid w:val="00AC130C"/>
    <w:rsid w:val="00AC6B1B"/>
    <w:rsid w:val="00AD3CD1"/>
    <w:rsid w:val="00AD4127"/>
    <w:rsid w:val="00AD6FCC"/>
    <w:rsid w:val="00AE039A"/>
    <w:rsid w:val="00AE07CE"/>
    <w:rsid w:val="00AE4212"/>
    <w:rsid w:val="00AE5255"/>
    <w:rsid w:val="00AE6B4C"/>
    <w:rsid w:val="00AF026D"/>
    <w:rsid w:val="00AF21A1"/>
    <w:rsid w:val="00AF5040"/>
    <w:rsid w:val="00B000B8"/>
    <w:rsid w:val="00B01421"/>
    <w:rsid w:val="00B029C6"/>
    <w:rsid w:val="00B12037"/>
    <w:rsid w:val="00B13F44"/>
    <w:rsid w:val="00B1695E"/>
    <w:rsid w:val="00B1740A"/>
    <w:rsid w:val="00B17A1D"/>
    <w:rsid w:val="00B211BE"/>
    <w:rsid w:val="00B27E8B"/>
    <w:rsid w:val="00B374D6"/>
    <w:rsid w:val="00B504A5"/>
    <w:rsid w:val="00B51962"/>
    <w:rsid w:val="00B51AEA"/>
    <w:rsid w:val="00B52B6B"/>
    <w:rsid w:val="00B530CD"/>
    <w:rsid w:val="00B53110"/>
    <w:rsid w:val="00B55185"/>
    <w:rsid w:val="00B55298"/>
    <w:rsid w:val="00B57E50"/>
    <w:rsid w:val="00B6031A"/>
    <w:rsid w:val="00B6300F"/>
    <w:rsid w:val="00B67179"/>
    <w:rsid w:val="00B721A5"/>
    <w:rsid w:val="00B73E41"/>
    <w:rsid w:val="00B810DB"/>
    <w:rsid w:val="00B833E5"/>
    <w:rsid w:val="00B83E32"/>
    <w:rsid w:val="00B85CA2"/>
    <w:rsid w:val="00B8705E"/>
    <w:rsid w:val="00B9166D"/>
    <w:rsid w:val="00B97571"/>
    <w:rsid w:val="00BA2F8C"/>
    <w:rsid w:val="00BA5AC8"/>
    <w:rsid w:val="00BB1990"/>
    <w:rsid w:val="00BB61BE"/>
    <w:rsid w:val="00BB6328"/>
    <w:rsid w:val="00BC03B9"/>
    <w:rsid w:val="00BC7AC5"/>
    <w:rsid w:val="00BD0633"/>
    <w:rsid w:val="00BD08A1"/>
    <w:rsid w:val="00BD743A"/>
    <w:rsid w:val="00BE22A3"/>
    <w:rsid w:val="00BE2C21"/>
    <w:rsid w:val="00BE2C5A"/>
    <w:rsid w:val="00BE4DE8"/>
    <w:rsid w:val="00BE51E1"/>
    <w:rsid w:val="00BE5F1E"/>
    <w:rsid w:val="00BF150B"/>
    <w:rsid w:val="00BF1C33"/>
    <w:rsid w:val="00BF6118"/>
    <w:rsid w:val="00C01B9C"/>
    <w:rsid w:val="00C02DC4"/>
    <w:rsid w:val="00C03809"/>
    <w:rsid w:val="00C055F0"/>
    <w:rsid w:val="00C06466"/>
    <w:rsid w:val="00C0788A"/>
    <w:rsid w:val="00C07F67"/>
    <w:rsid w:val="00C2326D"/>
    <w:rsid w:val="00C238E8"/>
    <w:rsid w:val="00C24A92"/>
    <w:rsid w:val="00C255C8"/>
    <w:rsid w:val="00C27B13"/>
    <w:rsid w:val="00C300D3"/>
    <w:rsid w:val="00C31300"/>
    <w:rsid w:val="00C32BD8"/>
    <w:rsid w:val="00C36E84"/>
    <w:rsid w:val="00C42D9E"/>
    <w:rsid w:val="00C44972"/>
    <w:rsid w:val="00C44DC9"/>
    <w:rsid w:val="00C47CCD"/>
    <w:rsid w:val="00C64895"/>
    <w:rsid w:val="00C65C0E"/>
    <w:rsid w:val="00C67373"/>
    <w:rsid w:val="00C675E8"/>
    <w:rsid w:val="00C7082F"/>
    <w:rsid w:val="00C71C6F"/>
    <w:rsid w:val="00C722DF"/>
    <w:rsid w:val="00C73C8E"/>
    <w:rsid w:val="00C813E4"/>
    <w:rsid w:val="00C85589"/>
    <w:rsid w:val="00C85D65"/>
    <w:rsid w:val="00C86C20"/>
    <w:rsid w:val="00C9313A"/>
    <w:rsid w:val="00C936B8"/>
    <w:rsid w:val="00C94F65"/>
    <w:rsid w:val="00C95479"/>
    <w:rsid w:val="00C95C59"/>
    <w:rsid w:val="00C9655F"/>
    <w:rsid w:val="00C965E7"/>
    <w:rsid w:val="00CA66BE"/>
    <w:rsid w:val="00CA68AE"/>
    <w:rsid w:val="00CB6966"/>
    <w:rsid w:val="00CB6D68"/>
    <w:rsid w:val="00CC02CD"/>
    <w:rsid w:val="00CC6D0B"/>
    <w:rsid w:val="00CD1688"/>
    <w:rsid w:val="00CD340C"/>
    <w:rsid w:val="00CD3A51"/>
    <w:rsid w:val="00CD7B89"/>
    <w:rsid w:val="00CD7FDC"/>
    <w:rsid w:val="00CE21A3"/>
    <w:rsid w:val="00CE2D1E"/>
    <w:rsid w:val="00CE493F"/>
    <w:rsid w:val="00CF2299"/>
    <w:rsid w:val="00CF5411"/>
    <w:rsid w:val="00CF5C95"/>
    <w:rsid w:val="00D00EA5"/>
    <w:rsid w:val="00D06249"/>
    <w:rsid w:val="00D0780A"/>
    <w:rsid w:val="00D10176"/>
    <w:rsid w:val="00D10449"/>
    <w:rsid w:val="00D10C83"/>
    <w:rsid w:val="00D10D5C"/>
    <w:rsid w:val="00D160C2"/>
    <w:rsid w:val="00D20091"/>
    <w:rsid w:val="00D2093B"/>
    <w:rsid w:val="00D20EE6"/>
    <w:rsid w:val="00D21890"/>
    <w:rsid w:val="00D27EAE"/>
    <w:rsid w:val="00D3043A"/>
    <w:rsid w:val="00D32313"/>
    <w:rsid w:val="00D33D09"/>
    <w:rsid w:val="00D34840"/>
    <w:rsid w:val="00D350F8"/>
    <w:rsid w:val="00D42961"/>
    <w:rsid w:val="00D45EC2"/>
    <w:rsid w:val="00D46592"/>
    <w:rsid w:val="00D47F1E"/>
    <w:rsid w:val="00D50EE1"/>
    <w:rsid w:val="00D56CEA"/>
    <w:rsid w:val="00D571E2"/>
    <w:rsid w:val="00D57B49"/>
    <w:rsid w:val="00D62B2B"/>
    <w:rsid w:val="00D63AF7"/>
    <w:rsid w:val="00D67DA0"/>
    <w:rsid w:val="00D70555"/>
    <w:rsid w:val="00D70F2E"/>
    <w:rsid w:val="00D72037"/>
    <w:rsid w:val="00D7294E"/>
    <w:rsid w:val="00D72B9C"/>
    <w:rsid w:val="00D73FC2"/>
    <w:rsid w:val="00D74154"/>
    <w:rsid w:val="00D74CE9"/>
    <w:rsid w:val="00D75391"/>
    <w:rsid w:val="00D76C5C"/>
    <w:rsid w:val="00D830B6"/>
    <w:rsid w:val="00D86FA4"/>
    <w:rsid w:val="00D91253"/>
    <w:rsid w:val="00D915A0"/>
    <w:rsid w:val="00D95A79"/>
    <w:rsid w:val="00D960B0"/>
    <w:rsid w:val="00DA1174"/>
    <w:rsid w:val="00DA4BAA"/>
    <w:rsid w:val="00DA696F"/>
    <w:rsid w:val="00DA7EA3"/>
    <w:rsid w:val="00DB413D"/>
    <w:rsid w:val="00DB543C"/>
    <w:rsid w:val="00DB67D6"/>
    <w:rsid w:val="00DB71C7"/>
    <w:rsid w:val="00DC09DE"/>
    <w:rsid w:val="00DC5330"/>
    <w:rsid w:val="00DC7836"/>
    <w:rsid w:val="00DC7C12"/>
    <w:rsid w:val="00DD109F"/>
    <w:rsid w:val="00DD1DA4"/>
    <w:rsid w:val="00DE1C31"/>
    <w:rsid w:val="00DE22F7"/>
    <w:rsid w:val="00DE5A25"/>
    <w:rsid w:val="00DE5C92"/>
    <w:rsid w:val="00DE637D"/>
    <w:rsid w:val="00DE679E"/>
    <w:rsid w:val="00DE6896"/>
    <w:rsid w:val="00DE68B3"/>
    <w:rsid w:val="00DF01FB"/>
    <w:rsid w:val="00DF249E"/>
    <w:rsid w:val="00DF4E37"/>
    <w:rsid w:val="00DF69D9"/>
    <w:rsid w:val="00E02934"/>
    <w:rsid w:val="00E02A23"/>
    <w:rsid w:val="00E130FD"/>
    <w:rsid w:val="00E13DF3"/>
    <w:rsid w:val="00E16B8D"/>
    <w:rsid w:val="00E21D6E"/>
    <w:rsid w:val="00E24BDF"/>
    <w:rsid w:val="00E2633F"/>
    <w:rsid w:val="00E31AF8"/>
    <w:rsid w:val="00E321D9"/>
    <w:rsid w:val="00E33E83"/>
    <w:rsid w:val="00E34069"/>
    <w:rsid w:val="00E35B94"/>
    <w:rsid w:val="00E36FA3"/>
    <w:rsid w:val="00E4199E"/>
    <w:rsid w:val="00E45727"/>
    <w:rsid w:val="00E46120"/>
    <w:rsid w:val="00E47BC2"/>
    <w:rsid w:val="00E534E4"/>
    <w:rsid w:val="00E544BB"/>
    <w:rsid w:val="00E54B27"/>
    <w:rsid w:val="00E54FD4"/>
    <w:rsid w:val="00E57A28"/>
    <w:rsid w:val="00E60640"/>
    <w:rsid w:val="00E61173"/>
    <w:rsid w:val="00E61F53"/>
    <w:rsid w:val="00E62936"/>
    <w:rsid w:val="00E62B7E"/>
    <w:rsid w:val="00E64E26"/>
    <w:rsid w:val="00E65A09"/>
    <w:rsid w:val="00E7123B"/>
    <w:rsid w:val="00E71AE5"/>
    <w:rsid w:val="00E74A00"/>
    <w:rsid w:val="00E76DEA"/>
    <w:rsid w:val="00E8051D"/>
    <w:rsid w:val="00E829EB"/>
    <w:rsid w:val="00E82BEF"/>
    <w:rsid w:val="00E82F83"/>
    <w:rsid w:val="00E847B4"/>
    <w:rsid w:val="00E85BDB"/>
    <w:rsid w:val="00E8662B"/>
    <w:rsid w:val="00E86F70"/>
    <w:rsid w:val="00E914AA"/>
    <w:rsid w:val="00E93E84"/>
    <w:rsid w:val="00E9466F"/>
    <w:rsid w:val="00EA2EB6"/>
    <w:rsid w:val="00EA6B5A"/>
    <w:rsid w:val="00EB1AE7"/>
    <w:rsid w:val="00EB20CD"/>
    <w:rsid w:val="00EC0310"/>
    <w:rsid w:val="00EC1729"/>
    <w:rsid w:val="00EC177A"/>
    <w:rsid w:val="00EC17D6"/>
    <w:rsid w:val="00EC192B"/>
    <w:rsid w:val="00EC376A"/>
    <w:rsid w:val="00EC4D30"/>
    <w:rsid w:val="00EC6262"/>
    <w:rsid w:val="00ED0410"/>
    <w:rsid w:val="00ED2711"/>
    <w:rsid w:val="00ED3206"/>
    <w:rsid w:val="00ED3A6E"/>
    <w:rsid w:val="00ED52A1"/>
    <w:rsid w:val="00ED54D6"/>
    <w:rsid w:val="00ED6AEB"/>
    <w:rsid w:val="00ED76DD"/>
    <w:rsid w:val="00EE0816"/>
    <w:rsid w:val="00EE2243"/>
    <w:rsid w:val="00EE2C35"/>
    <w:rsid w:val="00EE3151"/>
    <w:rsid w:val="00EE3AE5"/>
    <w:rsid w:val="00EE4952"/>
    <w:rsid w:val="00EE5621"/>
    <w:rsid w:val="00EE676B"/>
    <w:rsid w:val="00EF26E8"/>
    <w:rsid w:val="00EF6863"/>
    <w:rsid w:val="00EF6EDF"/>
    <w:rsid w:val="00F01827"/>
    <w:rsid w:val="00F02732"/>
    <w:rsid w:val="00F02AC4"/>
    <w:rsid w:val="00F12714"/>
    <w:rsid w:val="00F1332E"/>
    <w:rsid w:val="00F151D8"/>
    <w:rsid w:val="00F17063"/>
    <w:rsid w:val="00F1713E"/>
    <w:rsid w:val="00F20B86"/>
    <w:rsid w:val="00F22240"/>
    <w:rsid w:val="00F23135"/>
    <w:rsid w:val="00F26BEA"/>
    <w:rsid w:val="00F274CB"/>
    <w:rsid w:val="00F27CAC"/>
    <w:rsid w:val="00F3015C"/>
    <w:rsid w:val="00F32B41"/>
    <w:rsid w:val="00F43269"/>
    <w:rsid w:val="00F45EFD"/>
    <w:rsid w:val="00F460CC"/>
    <w:rsid w:val="00F46AA3"/>
    <w:rsid w:val="00F50500"/>
    <w:rsid w:val="00F51BAD"/>
    <w:rsid w:val="00F6029E"/>
    <w:rsid w:val="00F61FFA"/>
    <w:rsid w:val="00F63364"/>
    <w:rsid w:val="00F63D11"/>
    <w:rsid w:val="00F643D6"/>
    <w:rsid w:val="00F65606"/>
    <w:rsid w:val="00F671F6"/>
    <w:rsid w:val="00F67FF9"/>
    <w:rsid w:val="00F70148"/>
    <w:rsid w:val="00F76F95"/>
    <w:rsid w:val="00F779B0"/>
    <w:rsid w:val="00F822F8"/>
    <w:rsid w:val="00F846E9"/>
    <w:rsid w:val="00F86487"/>
    <w:rsid w:val="00F872E6"/>
    <w:rsid w:val="00F878CC"/>
    <w:rsid w:val="00F92554"/>
    <w:rsid w:val="00F92781"/>
    <w:rsid w:val="00F94C96"/>
    <w:rsid w:val="00FA00F3"/>
    <w:rsid w:val="00FA56F1"/>
    <w:rsid w:val="00FB747B"/>
    <w:rsid w:val="00FC69A3"/>
    <w:rsid w:val="00FD0362"/>
    <w:rsid w:val="00FD1CD5"/>
    <w:rsid w:val="00FD3A1E"/>
    <w:rsid w:val="00FD4232"/>
    <w:rsid w:val="00FD7FF2"/>
    <w:rsid w:val="00FE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A0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lsdException w:name="heading 1" w:semiHidden="0" w:uiPriority="4" w:unhideWhenUsed="0" w:qFormat="1"/>
    <w:lsdException w:name="heading 2" w:uiPriority="5" w:qFormat="1"/>
    <w:lsdException w:name="heading 3" w:uiPriority="6" w:qFormat="1"/>
    <w:lsdException w:name="heading 4" w:uiPriority="7" w:qFormat="1"/>
    <w:lsdException w:name="heading 5" w:uiPriority="8"/>
    <w:lsdException w:name="heading 6" w:uiPriority="9"/>
    <w:lsdException w:name="heading 7" w:uiPriority="10"/>
    <w:lsdException w:name="heading 8" w:uiPriority="11"/>
    <w:lsdException w:name="heading 9" w:uiPriority="12"/>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2" w:uiPriority="0"/>
    <w:lsdException w:name="Title" w:semiHidden="0" w:uiPriority="29" w:unhideWhenUsed="0"/>
    <w:lsdException w:name="Closing" w:uiPriority="29"/>
    <w:lsdException w:name="Default Paragraph Font" w:uiPriority="1"/>
    <w:lsdException w:name="Body Text" w:uiPriority="0" w:qFormat="1"/>
    <w:lsdException w:name="Subtitle" w:semiHidden="0" w:uiPriority="29" w:unhideWhenUsed="0"/>
    <w:lsdException w:name="Date" w:uiPriority="29"/>
    <w:lsdException w:name="Block Text" w:uiPriority="1" w:qFormat="1"/>
    <w:lsdException w:name="Strong" w:semiHidden="0" w:uiPriority="29" w:unhideWhenUsed="0"/>
    <w:lsdException w:name="Emphasis" w:semiHidden="0" w:uiPriority="29" w:unhideWhenUsed="0"/>
    <w:lsdException w:name="Table Grid" w:semiHidden="0" w:uiPriority="59" w:unhideWhenUsed="0"/>
    <w:lsdException w:name="Placeholder Text" w:unhideWhenUsed="0"/>
    <w:lsdException w:name="No Spacing" w:semiHidden="0" w:uiPriority="1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2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9" w:unhideWhenUsed="0"/>
    <w:lsdException w:name="Intense Emphasis" w:semiHidden="0" w:uiPriority="29" w:unhideWhenUsed="0"/>
    <w:lsdException w:name="Subtle Reference" w:semiHidden="0" w:uiPriority="29" w:unhideWhenUsed="0"/>
    <w:lsdException w:name="Intense Reference" w:semiHidden="0" w:uiPriority="29" w:unhideWhenUsed="0"/>
    <w:lsdException w:name="Book Title" w:semiHidden="0" w:uiPriority="29" w:unhideWhenUsed="0"/>
    <w:lsdException w:name="Bibliography" w:uiPriority="37"/>
    <w:lsdException w:name="TOC Heading" w:uiPriority="39" w:qFormat="1"/>
  </w:latentStyles>
  <w:style w:type="paragraph" w:default="1" w:styleId="Normal">
    <w:name w:val="Normal"/>
    <w:uiPriority w:val="1"/>
    <w:unhideWhenUsed/>
    <w:rsid w:val="00BF150B"/>
    <w:pPr>
      <w:spacing w:after="0" w:line="240" w:lineRule="auto"/>
    </w:pPr>
    <w:rPr>
      <w:rFonts w:ascii="Century Schoolbook" w:eastAsia="Times New Roman" w:hAnsi="Century Schoolbook" w:cs="Times New Roman"/>
      <w:kern w:val="20"/>
      <w:sz w:val="24"/>
      <w:szCs w:val="20"/>
    </w:rPr>
  </w:style>
  <w:style w:type="paragraph" w:styleId="Heading1">
    <w:name w:val="heading 1"/>
    <w:aliases w:val="h1"/>
    <w:basedOn w:val="Normal"/>
    <w:next w:val="BodyText"/>
    <w:link w:val="Heading1Char"/>
    <w:uiPriority w:val="4"/>
    <w:qFormat/>
    <w:rsid w:val="006235ED"/>
    <w:pPr>
      <w:keepNext/>
      <w:keepLines/>
      <w:numPr>
        <w:numId w:val="1"/>
      </w:numPr>
      <w:tabs>
        <w:tab w:val="left" w:pos="475"/>
      </w:tabs>
      <w:suppressAutoHyphens/>
      <w:spacing w:before="80" w:after="80"/>
      <w:jc w:val="center"/>
      <w:outlineLvl w:val="0"/>
    </w:pPr>
    <w:rPr>
      <w:b/>
      <w:caps/>
    </w:rPr>
  </w:style>
  <w:style w:type="paragraph" w:styleId="Heading2">
    <w:name w:val="heading 2"/>
    <w:aliases w:val="h2"/>
    <w:basedOn w:val="Heading1"/>
    <w:next w:val="BodyText"/>
    <w:link w:val="Heading2Char"/>
    <w:uiPriority w:val="5"/>
    <w:qFormat/>
    <w:rsid w:val="006235ED"/>
    <w:pPr>
      <w:numPr>
        <w:ilvl w:val="1"/>
      </w:numPr>
      <w:tabs>
        <w:tab w:val="left" w:pos="950"/>
      </w:tabs>
      <w:jc w:val="both"/>
      <w:outlineLvl w:val="1"/>
    </w:pPr>
    <w:rPr>
      <w:caps w:val="0"/>
      <w:lang w:val="x-none" w:eastAsia="x-none"/>
    </w:rPr>
  </w:style>
  <w:style w:type="paragraph" w:styleId="Heading3">
    <w:name w:val="heading 3"/>
    <w:aliases w:val="h3"/>
    <w:basedOn w:val="Heading2"/>
    <w:next w:val="BodyText"/>
    <w:link w:val="Heading3Char"/>
    <w:uiPriority w:val="6"/>
    <w:qFormat/>
    <w:rsid w:val="00E57A28"/>
    <w:pPr>
      <w:numPr>
        <w:ilvl w:val="2"/>
      </w:numPr>
      <w:outlineLvl w:val="2"/>
    </w:pPr>
  </w:style>
  <w:style w:type="paragraph" w:styleId="Heading4">
    <w:name w:val="heading 4"/>
    <w:aliases w:val="h4"/>
    <w:basedOn w:val="Heading3"/>
    <w:link w:val="Heading4Char"/>
    <w:uiPriority w:val="7"/>
    <w:unhideWhenUsed/>
    <w:qFormat/>
    <w:rsid w:val="001A1132"/>
    <w:pPr>
      <w:numPr>
        <w:ilvl w:val="3"/>
      </w:numPr>
      <w:outlineLvl w:val="3"/>
    </w:pPr>
  </w:style>
  <w:style w:type="paragraph" w:styleId="Heading5">
    <w:name w:val="heading 5"/>
    <w:aliases w:val="h5"/>
    <w:basedOn w:val="Normal"/>
    <w:link w:val="Heading5Char"/>
    <w:uiPriority w:val="8"/>
    <w:unhideWhenUsed/>
    <w:rsid w:val="00741B77"/>
    <w:pPr>
      <w:numPr>
        <w:ilvl w:val="4"/>
        <w:numId w:val="1"/>
      </w:numPr>
      <w:tabs>
        <w:tab w:val="left" w:pos="1426"/>
      </w:tabs>
      <w:spacing w:after="120"/>
      <w:jc w:val="both"/>
      <w:outlineLvl w:val="4"/>
    </w:pPr>
    <w:rPr>
      <w:b/>
      <w:spacing w:val="-2"/>
    </w:rPr>
  </w:style>
  <w:style w:type="paragraph" w:styleId="Heading6">
    <w:name w:val="heading 6"/>
    <w:aliases w:val="h6"/>
    <w:basedOn w:val="Normal"/>
    <w:link w:val="Heading6Char"/>
    <w:uiPriority w:val="9"/>
    <w:unhideWhenUsed/>
    <w:rsid w:val="00741B77"/>
    <w:pPr>
      <w:numPr>
        <w:ilvl w:val="5"/>
        <w:numId w:val="1"/>
      </w:numPr>
      <w:spacing w:after="240"/>
      <w:outlineLvl w:val="5"/>
    </w:pPr>
  </w:style>
  <w:style w:type="paragraph" w:styleId="Heading7">
    <w:name w:val="heading 7"/>
    <w:aliases w:val="h7"/>
    <w:basedOn w:val="Normal"/>
    <w:link w:val="Heading7Char"/>
    <w:uiPriority w:val="10"/>
    <w:unhideWhenUsed/>
    <w:rsid w:val="00741B77"/>
    <w:pPr>
      <w:keepNext/>
      <w:numPr>
        <w:ilvl w:val="6"/>
        <w:numId w:val="1"/>
      </w:numPr>
      <w:spacing w:after="120"/>
      <w:jc w:val="both"/>
      <w:outlineLvl w:val="6"/>
    </w:pPr>
    <w:rPr>
      <w:b/>
    </w:rPr>
  </w:style>
  <w:style w:type="paragraph" w:styleId="Heading8">
    <w:name w:val="heading 8"/>
    <w:aliases w:val="h8"/>
    <w:basedOn w:val="Normal"/>
    <w:link w:val="Heading8Char"/>
    <w:uiPriority w:val="11"/>
    <w:unhideWhenUsed/>
    <w:rsid w:val="00741B77"/>
    <w:pPr>
      <w:numPr>
        <w:ilvl w:val="7"/>
        <w:numId w:val="1"/>
      </w:numPr>
      <w:spacing w:after="240"/>
      <w:outlineLvl w:val="7"/>
    </w:pPr>
  </w:style>
  <w:style w:type="paragraph" w:styleId="Heading9">
    <w:name w:val="heading 9"/>
    <w:aliases w:val="h9"/>
    <w:basedOn w:val="Normal"/>
    <w:link w:val="Heading9Char"/>
    <w:uiPriority w:val="12"/>
    <w:unhideWhenUsed/>
    <w:rsid w:val="00741B77"/>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itionalCounselNotice">
    <w:name w:val="Additional Counsel Notice"/>
    <w:basedOn w:val="Normal"/>
    <w:next w:val="Normal"/>
    <w:uiPriority w:val="29"/>
    <w:unhideWhenUsed/>
    <w:rsid w:val="00F02732"/>
    <w:pPr>
      <w:spacing w:before="120"/>
    </w:pPr>
    <w:rPr>
      <w:i/>
      <w:sz w:val="23"/>
    </w:rPr>
  </w:style>
  <w:style w:type="paragraph" w:customStyle="1" w:styleId="CaseNumber">
    <w:name w:val="Case Number"/>
    <w:basedOn w:val="Normal"/>
    <w:uiPriority w:val="29"/>
    <w:rsid w:val="00F02732"/>
    <w:pPr>
      <w:jc w:val="center"/>
    </w:pPr>
    <w:rPr>
      <w:smallCaps/>
    </w:rPr>
  </w:style>
  <w:style w:type="paragraph" w:customStyle="1" w:styleId="Parties">
    <w:name w:val="Parties"/>
    <w:basedOn w:val="Normal"/>
    <w:uiPriority w:val="29"/>
    <w:rsid w:val="00F02732"/>
    <w:pPr>
      <w:jc w:val="center"/>
    </w:pPr>
    <w:rPr>
      <w:smallCaps/>
    </w:rPr>
  </w:style>
  <w:style w:type="paragraph" w:customStyle="1" w:styleId="BriefTitle">
    <w:name w:val="Brief Title"/>
    <w:basedOn w:val="Normal"/>
    <w:uiPriority w:val="29"/>
    <w:rsid w:val="00F02732"/>
    <w:pPr>
      <w:jc w:val="center"/>
    </w:pPr>
    <w:rPr>
      <w:b/>
    </w:rPr>
  </w:style>
  <w:style w:type="paragraph" w:customStyle="1" w:styleId="Circuit">
    <w:name w:val="Circuit"/>
    <w:basedOn w:val="Normal"/>
    <w:uiPriority w:val="29"/>
    <w:rsid w:val="00F02732"/>
    <w:pPr>
      <w:spacing w:line="215" w:lineRule="exact"/>
      <w:jc w:val="center"/>
    </w:pPr>
    <w:rPr>
      <w:b/>
    </w:rPr>
  </w:style>
  <w:style w:type="paragraph" w:styleId="TOC1">
    <w:name w:val="toc 1"/>
    <w:basedOn w:val="Normal"/>
    <w:next w:val="BodyText"/>
    <w:uiPriority w:val="39"/>
    <w:unhideWhenUsed/>
    <w:rsid w:val="00CF5C95"/>
    <w:pPr>
      <w:tabs>
        <w:tab w:val="right" w:leader="dot" w:pos="5904"/>
      </w:tabs>
      <w:spacing w:after="80"/>
      <w:ind w:left="187" w:right="475" w:hanging="187"/>
      <w:jc w:val="both"/>
    </w:pPr>
  </w:style>
  <w:style w:type="paragraph" w:customStyle="1" w:styleId="CounselofRecord">
    <w:name w:val="Counsel of Record"/>
    <w:basedOn w:val="Normal"/>
    <w:uiPriority w:val="29"/>
    <w:rsid w:val="00F02732"/>
    <w:rPr>
      <w:smallCaps/>
      <w:sz w:val="22"/>
    </w:rPr>
  </w:style>
  <w:style w:type="paragraph" w:styleId="Date">
    <w:name w:val="Date"/>
    <w:basedOn w:val="Normal"/>
    <w:next w:val="Normal"/>
    <w:link w:val="DateChar"/>
    <w:uiPriority w:val="29"/>
    <w:rsid w:val="00F02732"/>
  </w:style>
  <w:style w:type="character" w:customStyle="1" w:styleId="DateChar">
    <w:name w:val="Date Char"/>
    <w:basedOn w:val="DefaultParagraphFont"/>
    <w:link w:val="Date"/>
    <w:uiPriority w:val="29"/>
    <w:rsid w:val="00F02732"/>
    <w:rPr>
      <w:rFonts w:ascii="Century Schoolbook" w:eastAsia="Times New Roman" w:hAnsi="Century Schoolbook" w:cs="Times New Roman"/>
      <w:kern w:val="20"/>
      <w:sz w:val="24"/>
      <w:szCs w:val="20"/>
    </w:rPr>
  </w:style>
  <w:style w:type="paragraph" w:styleId="Title">
    <w:name w:val="Title"/>
    <w:basedOn w:val="Normal"/>
    <w:next w:val="Normal"/>
    <w:link w:val="TitleChar"/>
    <w:uiPriority w:val="29"/>
    <w:rsid w:val="00747681"/>
    <w:pPr>
      <w:spacing w:after="120"/>
      <w:jc w:val="center"/>
    </w:pPr>
    <w:rPr>
      <w:b/>
      <w:szCs w:val="24"/>
    </w:rPr>
  </w:style>
  <w:style w:type="character" w:customStyle="1" w:styleId="TitleChar">
    <w:name w:val="Title Char"/>
    <w:basedOn w:val="DefaultParagraphFont"/>
    <w:link w:val="Title"/>
    <w:uiPriority w:val="29"/>
    <w:rsid w:val="00CC6D0B"/>
    <w:rPr>
      <w:rFonts w:ascii="Century Schoolbook" w:eastAsia="Times New Roman" w:hAnsi="Century Schoolbook" w:cs="Times New Roman"/>
      <w:b/>
      <w:sz w:val="24"/>
      <w:szCs w:val="24"/>
    </w:rPr>
  </w:style>
  <w:style w:type="paragraph" w:styleId="BodyText">
    <w:name w:val="Body Text"/>
    <w:aliases w:val="bt"/>
    <w:basedOn w:val="Normal"/>
    <w:link w:val="BodyTextChar"/>
    <w:qFormat/>
    <w:rsid w:val="00F02732"/>
    <w:pPr>
      <w:suppressAutoHyphens/>
      <w:spacing w:after="80"/>
      <w:ind w:firstLine="475"/>
      <w:jc w:val="both"/>
    </w:pPr>
  </w:style>
  <w:style w:type="paragraph" w:styleId="Header">
    <w:name w:val="header"/>
    <w:basedOn w:val="Normal"/>
    <w:link w:val="HeaderChar"/>
    <w:uiPriority w:val="99"/>
    <w:unhideWhenUsed/>
    <w:rsid w:val="00F02732"/>
    <w:pPr>
      <w:tabs>
        <w:tab w:val="center" w:pos="4680"/>
        <w:tab w:val="right" w:pos="9360"/>
      </w:tabs>
    </w:pPr>
  </w:style>
  <w:style w:type="character" w:customStyle="1" w:styleId="BodyTextChar">
    <w:name w:val="Body Text Char"/>
    <w:aliases w:val="bt Char"/>
    <w:basedOn w:val="DefaultParagraphFont"/>
    <w:link w:val="BodyText"/>
    <w:rsid w:val="00F02732"/>
    <w:rPr>
      <w:rFonts w:ascii="Century Schoolbook" w:eastAsia="Times New Roman" w:hAnsi="Century Schoolbook" w:cs="Times New Roman"/>
      <w:kern w:val="20"/>
      <w:sz w:val="24"/>
      <w:szCs w:val="20"/>
    </w:rPr>
  </w:style>
  <w:style w:type="character" w:customStyle="1" w:styleId="HeaderChar">
    <w:name w:val="Header Char"/>
    <w:basedOn w:val="DefaultParagraphFont"/>
    <w:link w:val="Header"/>
    <w:uiPriority w:val="99"/>
    <w:rsid w:val="00F02732"/>
    <w:rPr>
      <w:rFonts w:ascii="Century Schoolbook" w:eastAsia="Times New Roman" w:hAnsi="Century Schoolbook" w:cs="Times New Roman"/>
      <w:kern w:val="20"/>
      <w:sz w:val="24"/>
      <w:szCs w:val="20"/>
    </w:rPr>
  </w:style>
  <w:style w:type="paragraph" w:styleId="Footer">
    <w:name w:val="footer"/>
    <w:basedOn w:val="Normal"/>
    <w:link w:val="FooterChar"/>
    <w:uiPriority w:val="99"/>
    <w:unhideWhenUsed/>
    <w:rsid w:val="00741B77"/>
    <w:pPr>
      <w:tabs>
        <w:tab w:val="center" w:pos="4680"/>
        <w:tab w:val="right" w:pos="9360"/>
      </w:tabs>
    </w:pPr>
  </w:style>
  <w:style w:type="character" w:customStyle="1" w:styleId="FooterChar">
    <w:name w:val="Footer Char"/>
    <w:basedOn w:val="DefaultParagraphFont"/>
    <w:link w:val="Footer"/>
    <w:uiPriority w:val="99"/>
    <w:rsid w:val="00741B77"/>
    <w:rPr>
      <w:rFonts w:ascii="Century Schoolbook" w:eastAsia="Times New Roman" w:hAnsi="Century Schoolbook" w:cs="Times New Roman"/>
      <w:sz w:val="24"/>
      <w:szCs w:val="20"/>
    </w:rPr>
  </w:style>
  <w:style w:type="character" w:customStyle="1" w:styleId="Heading1Char">
    <w:name w:val="Heading 1 Char"/>
    <w:aliases w:val="h1 Char"/>
    <w:basedOn w:val="DefaultParagraphFont"/>
    <w:link w:val="Heading1"/>
    <w:uiPriority w:val="4"/>
    <w:rsid w:val="006235ED"/>
    <w:rPr>
      <w:rFonts w:ascii="Century Schoolbook" w:eastAsia="Times New Roman" w:hAnsi="Century Schoolbook" w:cs="Times New Roman"/>
      <w:b/>
      <w:caps/>
      <w:kern w:val="20"/>
      <w:sz w:val="24"/>
      <w:szCs w:val="20"/>
    </w:rPr>
  </w:style>
  <w:style w:type="character" w:customStyle="1" w:styleId="Heading2Char">
    <w:name w:val="Heading 2 Char"/>
    <w:aliases w:val="h2 Char"/>
    <w:basedOn w:val="DefaultParagraphFont"/>
    <w:link w:val="Heading2"/>
    <w:uiPriority w:val="5"/>
    <w:rsid w:val="006235ED"/>
    <w:rPr>
      <w:rFonts w:ascii="Century Schoolbook" w:eastAsia="Times New Roman" w:hAnsi="Century Schoolbook" w:cs="Times New Roman"/>
      <w:b/>
      <w:kern w:val="20"/>
      <w:sz w:val="24"/>
      <w:szCs w:val="20"/>
      <w:lang w:val="x-none" w:eastAsia="x-none"/>
    </w:rPr>
  </w:style>
  <w:style w:type="character" w:customStyle="1" w:styleId="Heading3Char">
    <w:name w:val="Heading 3 Char"/>
    <w:aliases w:val="h3 Char"/>
    <w:basedOn w:val="DefaultParagraphFont"/>
    <w:link w:val="Heading3"/>
    <w:uiPriority w:val="6"/>
    <w:rsid w:val="00E57A28"/>
    <w:rPr>
      <w:rFonts w:ascii="Century Schoolbook" w:eastAsia="Times New Roman" w:hAnsi="Century Schoolbook" w:cs="Times New Roman"/>
      <w:b/>
      <w:sz w:val="24"/>
      <w:szCs w:val="20"/>
      <w:lang w:val="x-none" w:eastAsia="x-none"/>
    </w:rPr>
  </w:style>
  <w:style w:type="character" w:customStyle="1" w:styleId="Heading4Char">
    <w:name w:val="Heading 4 Char"/>
    <w:aliases w:val="h4 Char"/>
    <w:basedOn w:val="DefaultParagraphFont"/>
    <w:link w:val="Heading4"/>
    <w:uiPriority w:val="7"/>
    <w:rsid w:val="001A1132"/>
    <w:rPr>
      <w:rFonts w:ascii="Century" w:eastAsia="Times New Roman" w:hAnsi="Century" w:cs="Times New Roman"/>
      <w:b/>
      <w:kern w:val="20"/>
      <w:sz w:val="24"/>
      <w:szCs w:val="20"/>
      <w:lang w:val="x-none" w:eastAsia="x-none"/>
    </w:rPr>
  </w:style>
  <w:style w:type="character" w:customStyle="1" w:styleId="Heading5Char">
    <w:name w:val="Heading 5 Char"/>
    <w:aliases w:val="h5 Char"/>
    <w:basedOn w:val="DefaultParagraphFont"/>
    <w:link w:val="Heading5"/>
    <w:uiPriority w:val="8"/>
    <w:rsid w:val="00461EA7"/>
    <w:rPr>
      <w:rFonts w:ascii="Century Schoolbook" w:eastAsia="Times New Roman" w:hAnsi="Century Schoolbook" w:cs="Times New Roman"/>
      <w:b/>
      <w:spacing w:val="-2"/>
      <w:sz w:val="24"/>
      <w:szCs w:val="20"/>
    </w:rPr>
  </w:style>
  <w:style w:type="character" w:customStyle="1" w:styleId="Heading6Char">
    <w:name w:val="Heading 6 Char"/>
    <w:aliases w:val="h6 Char"/>
    <w:basedOn w:val="DefaultParagraphFont"/>
    <w:link w:val="Heading6"/>
    <w:uiPriority w:val="9"/>
    <w:rsid w:val="00461EA7"/>
    <w:rPr>
      <w:rFonts w:ascii="Century Schoolbook" w:eastAsia="Times New Roman" w:hAnsi="Century Schoolbook" w:cs="Times New Roman"/>
      <w:sz w:val="24"/>
      <w:szCs w:val="20"/>
    </w:rPr>
  </w:style>
  <w:style w:type="character" w:customStyle="1" w:styleId="Heading7Char">
    <w:name w:val="Heading 7 Char"/>
    <w:aliases w:val="h7 Char"/>
    <w:basedOn w:val="DefaultParagraphFont"/>
    <w:link w:val="Heading7"/>
    <w:uiPriority w:val="10"/>
    <w:rsid w:val="00461EA7"/>
    <w:rPr>
      <w:rFonts w:ascii="Century Schoolbook" w:eastAsia="Times New Roman" w:hAnsi="Century Schoolbook" w:cs="Times New Roman"/>
      <w:b/>
      <w:sz w:val="24"/>
      <w:szCs w:val="20"/>
    </w:rPr>
  </w:style>
  <w:style w:type="character" w:customStyle="1" w:styleId="Heading8Char">
    <w:name w:val="Heading 8 Char"/>
    <w:aliases w:val="h8 Char"/>
    <w:basedOn w:val="DefaultParagraphFont"/>
    <w:link w:val="Heading8"/>
    <w:uiPriority w:val="11"/>
    <w:rsid w:val="00461EA7"/>
    <w:rPr>
      <w:rFonts w:ascii="Century Schoolbook" w:eastAsia="Times New Roman" w:hAnsi="Century Schoolbook" w:cs="Times New Roman"/>
      <w:sz w:val="24"/>
      <w:szCs w:val="20"/>
    </w:rPr>
  </w:style>
  <w:style w:type="character" w:customStyle="1" w:styleId="Heading9Char">
    <w:name w:val="Heading 9 Char"/>
    <w:aliases w:val="h9 Char"/>
    <w:basedOn w:val="DefaultParagraphFont"/>
    <w:link w:val="Heading9"/>
    <w:uiPriority w:val="12"/>
    <w:rsid w:val="00461EA7"/>
    <w:rPr>
      <w:rFonts w:ascii="Century Schoolbook" w:eastAsia="Times New Roman" w:hAnsi="Century Schoolbook" w:cs="Times New Roman"/>
      <w:sz w:val="24"/>
      <w:szCs w:val="20"/>
    </w:rPr>
  </w:style>
  <w:style w:type="paragraph" w:styleId="TOC2">
    <w:name w:val="toc 2"/>
    <w:basedOn w:val="TOC1"/>
    <w:next w:val="Normal"/>
    <w:uiPriority w:val="39"/>
    <w:unhideWhenUsed/>
    <w:rsid w:val="006235ED"/>
    <w:pPr>
      <w:ind w:left="475" w:hanging="475"/>
    </w:pPr>
  </w:style>
  <w:style w:type="paragraph" w:styleId="Subtitle">
    <w:name w:val="Subtitle"/>
    <w:aliases w:val="st"/>
    <w:basedOn w:val="Normal"/>
    <w:link w:val="SubtitleChar"/>
    <w:uiPriority w:val="29"/>
    <w:unhideWhenUsed/>
    <w:rsid w:val="00741B77"/>
    <w:pPr>
      <w:keepNext/>
      <w:spacing w:after="120"/>
      <w:jc w:val="center"/>
    </w:pPr>
    <w:rPr>
      <w:b/>
    </w:rPr>
  </w:style>
  <w:style w:type="character" w:customStyle="1" w:styleId="SubtitleChar">
    <w:name w:val="Subtitle Char"/>
    <w:aliases w:val="st Char"/>
    <w:basedOn w:val="DefaultParagraphFont"/>
    <w:link w:val="Subtitle"/>
    <w:uiPriority w:val="29"/>
    <w:rsid w:val="00CC6D0B"/>
    <w:rPr>
      <w:rFonts w:ascii="Century Schoolbook" w:eastAsia="Times New Roman" w:hAnsi="Century Schoolbook" w:cs="Times New Roman"/>
      <w:b/>
      <w:sz w:val="24"/>
      <w:szCs w:val="20"/>
    </w:rPr>
  </w:style>
  <w:style w:type="paragraph" w:styleId="Closing">
    <w:name w:val="Closing"/>
    <w:aliases w:val="cl"/>
    <w:basedOn w:val="Normal"/>
    <w:link w:val="ClosingChar"/>
    <w:uiPriority w:val="29"/>
    <w:rsid w:val="00741B77"/>
    <w:pPr>
      <w:ind w:left="5040"/>
    </w:pPr>
  </w:style>
  <w:style w:type="character" w:customStyle="1" w:styleId="ClosingChar">
    <w:name w:val="Closing Char"/>
    <w:aliases w:val="cl Char"/>
    <w:basedOn w:val="DefaultParagraphFont"/>
    <w:link w:val="Closing"/>
    <w:uiPriority w:val="29"/>
    <w:rsid w:val="00CC6D0B"/>
    <w:rPr>
      <w:rFonts w:ascii="Century Schoolbook" w:eastAsia="Times New Roman" w:hAnsi="Century Schoolbook" w:cs="Times New Roman"/>
      <w:sz w:val="24"/>
      <w:szCs w:val="20"/>
    </w:rPr>
  </w:style>
  <w:style w:type="paragraph" w:customStyle="1" w:styleId="Heading1noTOC">
    <w:name w:val="Heading 1 (no TOC)"/>
    <w:basedOn w:val="Heading1"/>
    <w:uiPriority w:val="13"/>
    <w:semiHidden/>
    <w:unhideWhenUsed/>
    <w:qFormat/>
    <w:rsid w:val="00C73C8E"/>
    <w:pPr>
      <w:outlineLvl w:val="9"/>
    </w:pPr>
  </w:style>
  <w:style w:type="paragraph" w:styleId="BlockText">
    <w:name w:val="Block Text"/>
    <w:aliases w:val="Block Quote,bq"/>
    <w:basedOn w:val="BodyText"/>
    <w:next w:val="BodyText"/>
    <w:uiPriority w:val="1"/>
    <w:unhideWhenUsed/>
    <w:qFormat/>
    <w:rsid w:val="00FC69A3"/>
    <w:pPr>
      <w:ind w:left="475" w:right="475" w:firstLine="0"/>
    </w:pPr>
    <w:rPr>
      <w:rFonts w:eastAsiaTheme="minorEastAsia" w:cstheme="minorBidi"/>
      <w:iCs/>
    </w:rPr>
  </w:style>
  <w:style w:type="paragraph" w:styleId="FootnoteText">
    <w:name w:val="footnote text"/>
    <w:basedOn w:val="BodyText"/>
    <w:link w:val="FootnoteTextChar"/>
    <w:uiPriority w:val="99"/>
    <w:qFormat/>
    <w:rsid w:val="00373DE0"/>
    <w:pPr>
      <w:ind w:firstLine="187"/>
    </w:pPr>
    <w:rPr>
      <w:sz w:val="20"/>
    </w:rPr>
  </w:style>
  <w:style w:type="character" w:customStyle="1" w:styleId="FootnoteTextChar">
    <w:name w:val="Footnote Text Char"/>
    <w:basedOn w:val="DefaultParagraphFont"/>
    <w:link w:val="FootnoteText"/>
    <w:uiPriority w:val="99"/>
    <w:rsid w:val="00373DE0"/>
    <w:rPr>
      <w:rFonts w:ascii="Century Schoolbook" w:eastAsia="Times New Roman" w:hAnsi="Century Schoolbook" w:cs="Times New Roman"/>
      <w:kern w:val="20"/>
      <w:sz w:val="20"/>
      <w:szCs w:val="20"/>
    </w:rPr>
  </w:style>
  <w:style w:type="character" w:styleId="FootnoteReference">
    <w:name w:val="footnote reference"/>
    <w:basedOn w:val="DefaultParagraphFont"/>
    <w:uiPriority w:val="99"/>
    <w:unhideWhenUsed/>
    <w:rsid w:val="00BF150B"/>
    <w:rPr>
      <w:rFonts w:ascii="Century Schoolbook" w:hAnsi="Century Schoolbook"/>
      <w:sz w:val="20"/>
      <w:vertAlign w:val="superscript"/>
    </w:rPr>
  </w:style>
  <w:style w:type="character" w:styleId="Hyperlink">
    <w:name w:val="Hyperlink"/>
    <w:basedOn w:val="DefaultParagraphFont"/>
    <w:uiPriority w:val="99"/>
    <w:unhideWhenUsed/>
    <w:rsid w:val="00D10449"/>
    <w:rPr>
      <w:color w:val="auto"/>
      <w:u w:val="none"/>
    </w:rPr>
  </w:style>
  <w:style w:type="paragraph" w:styleId="TOC3">
    <w:name w:val="toc 3"/>
    <w:basedOn w:val="TOC2"/>
    <w:next w:val="BodyText"/>
    <w:uiPriority w:val="39"/>
    <w:unhideWhenUsed/>
    <w:rsid w:val="00F92781"/>
    <w:pPr>
      <w:tabs>
        <w:tab w:val="left" w:pos="950"/>
      </w:tabs>
      <w:ind w:left="950"/>
    </w:pPr>
  </w:style>
  <w:style w:type="paragraph" w:customStyle="1" w:styleId="BlockText2">
    <w:name w:val="Block Text 2"/>
    <w:aliases w:val="Block Quote 2,bq2"/>
    <w:basedOn w:val="BlockText"/>
    <w:next w:val="BodyText"/>
    <w:uiPriority w:val="1"/>
    <w:rsid w:val="003C537B"/>
  </w:style>
  <w:style w:type="paragraph" w:styleId="TableofAuthorities">
    <w:name w:val="table of authorities"/>
    <w:basedOn w:val="Normal"/>
    <w:next w:val="Normal"/>
    <w:uiPriority w:val="99"/>
    <w:semiHidden/>
    <w:unhideWhenUsed/>
    <w:rsid w:val="00577B12"/>
    <w:pPr>
      <w:tabs>
        <w:tab w:val="right" w:leader="dot" w:pos="5904"/>
      </w:tabs>
      <w:spacing w:after="80"/>
      <w:ind w:left="187" w:right="907" w:hanging="187"/>
    </w:pPr>
  </w:style>
  <w:style w:type="paragraph" w:styleId="TOAHeading">
    <w:name w:val="toa heading"/>
    <w:basedOn w:val="BodyText"/>
    <w:next w:val="Normal"/>
    <w:uiPriority w:val="99"/>
    <w:unhideWhenUsed/>
    <w:rsid w:val="006235ED"/>
    <w:pPr>
      <w:spacing w:before="80"/>
      <w:ind w:firstLine="0"/>
    </w:pPr>
    <w:rPr>
      <w:rFonts w:eastAsiaTheme="majorEastAsia" w:cstheme="majorBidi"/>
      <w:b/>
      <w:bCs/>
      <w:szCs w:val="24"/>
    </w:rPr>
  </w:style>
  <w:style w:type="paragraph" w:styleId="BalloonText">
    <w:name w:val="Balloon Text"/>
    <w:basedOn w:val="Normal"/>
    <w:link w:val="BalloonTextChar"/>
    <w:uiPriority w:val="99"/>
    <w:semiHidden/>
    <w:unhideWhenUsed/>
    <w:rsid w:val="0020641E"/>
    <w:rPr>
      <w:rFonts w:ascii="Tahoma" w:hAnsi="Tahoma" w:cs="Tahoma"/>
      <w:sz w:val="16"/>
      <w:szCs w:val="16"/>
    </w:rPr>
  </w:style>
  <w:style w:type="character" w:customStyle="1" w:styleId="BalloonTextChar">
    <w:name w:val="Balloon Text Char"/>
    <w:basedOn w:val="DefaultParagraphFont"/>
    <w:link w:val="BalloonText"/>
    <w:uiPriority w:val="99"/>
    <w:semiHidden/>
    <w:rsid w:val="0020641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0641E"/>
    <w:rPr>
      <w:sz w:val="16"/>
      <w:szCs w:val="16"/>
    </w:rPr>
  </w:style>
  <w:style w:type="paragraph" w:styleId="CommentText">
    <w:name w:val="annotation text"/>
    <w:basedOn w:val="Normal"/>
    <w:link w:val="CommentTextChar"/>
    <w:uiPriority w:val="99"/>
    <w:semiHidden/>
    <w:unhideWhenUsed/>
    <w:rsid w:val="0020641E"/>
    <w:rPr>
      <w:sz w:val="20"/>
    </w:rPr>
  </w:style>
  <w:style w:type="character" w:customStyle="1" w:styleId="CommentTextChar">
    <w:name w:val="Comment Text Char"/>
    <w:basedOn w:val="DefaultParagraphFont"/>
    <w:link w:val="CommentText"/>
    <w:uiPriority w:val="99"/>
    <w:semiHidden/>
    <w:rsid w:val="0020641E"/>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20641E"/>
    <w:rPr>
      <w:b/>
      <w:bCs/>
    </w:rPr>
  </w:style>
  <w:style w:type="character" w:customStyle="1" w:styleId="CommentSubjectChar">
    <w:name w:val="Comment Subject Char"/>
    <w:basedOn w:val="CommentTextChar"/>
    <w:link w:val="CommentSubject"/>
    <w:uiPriority w:val="99"/>
    <w:semiHidden/>
    <w:rsid w:val="0020641E"/>
    <w:rPr>
      <w:rFonts w:ascii="Century Schoolbook" w:eastAsia="Times New Roman" w:hAnsi="Century Schoolbook" w:cs="Times New Roman"/>
      <w:b/>
      <w:bCs/>
      <w:sz w:val="20"/>
      <w:szCs w:val="20"/>
    </w:rPr>
  </w:style>
  <w:style w:type="paragraph" w:styleId="ListParagraph">
    <w:name w:val="List Paragraph"/>
    <w:aliases w:val="lp"/>
    <w:basedOn w:val="Normal"/>
    <w:uiPriority w:val="34"/>
    <w:qFormat/>
    <w:rsid w:val="00462DF4"/>
    <w:pPr>
      <w:numPr>
        <w:numId w:val="14"/>
      </w:numPr>
      <w:ind w:left="1440"/>
      <w:contextualSpacing/>
    </w:pPr>
    <w:rPr>
      <w:rFonts w:ascii="Century" w:eastAsiaTheme="minorEastAsia" w:hAnsi="Century" w:cstheme="minorBidi"/>
      <w:szCs w:val="24"/>
    </w:rPr>
  </w:style>
  <w:style w:type="character" w:styleId="FollowedHyperlink">
    <w:name w:val="FollowedHyperlink"/>
    <w:basedOn w:val="DefaultParagraphFont"/>
    <w:uiPriority w:val="99"/>
    <w:semiHidden/>
    <w:unhideWhenUsed/>
    <w:rsid w:val="008469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lsdException w:name="heading 1" w:semiHidden="0" w:uiPriority="4" w:unhideWhenUsed="0" w:qFormat="1"/>
    <w:lsdException w:name="heading 2" w:uiPriority="5" w:qFormat="1"/>
    <w:lsdException w:name="heading 3" w:uiPriority="6" w:qFormat="1"/>
    <w:lsdException w:name="heading 4" w:uiPriority="7" w:qFormat="1"/>
    <w:lsdException w:name="heading 5" w:uiPriority="8"/>
    <w:lsdException w:name="heading 6" w:uiPriority="9"/>
    <w:lsdException w:name="heading 7" w:uiPriority="10"/>
    <w:lsdException w:name="heading 8" w:uiPriority="11"/>
    <w:lsdException w:name="heading 9" w:uiPriority="12"/>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2" w:uiPriority="0"/>
    <w:lsdException w:name="Title" w:semiHidden="0" w:uiPriority="29" w:unhideWhenUsed="0"/>
    <w:lsdException w:name="Closing" w:uiPriority="29"/>
    <w:lsdException w:name="Default Paragraph Font" w:uiPriority="1"/>
    <w:lsdException w:name="Body Text" w:uiPriority="0" w:qFormat="1"/>
    <w:lsdException w:name="Subtitle" w:semiHidden="0" w:uiPriority="29" w:unhideWhenUsed="0"/>
    <w:lsdException w:name="Date" w:uiPriority="29"/>
    <w:lsdException w:name="Block Text" w:uiPriority="1" w:qFormat="1"/>
    <w:lsdException w:name="Strong" w:semiHidden="0" w:uiPriority="29" w:unhideWhenUsed="0"/>
    <w:lsdException w:name="Emphasis" w:semiHidden="0" w:uiPriority="29" w:unhideWhenUsed="0"/>
    <w:lsdException w:name="Table Grid" w:semiHidden="0" w:uiPriority="59" w:unhideWhenUsed="0"/>
    <w:lsdException w:name="Placeholder Text" w:unhideWhenUsed="0"/>
    <w:lsdException w:name="No Spacing" w:semiHidden="0" w:uiPriority="1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2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9" w:unhideWhenUsed="0"/>
    <w:lsdException w:name="Intense Emphasis" w:semiHidden="0" w:uiPriority="29" w:unhideWhenUsed="0"/>
    <w:lsdException w:name="Subtle Reference" w:semiHidden="0" w:uiPriority="29" w:unhideWhenUsed="0"/>
    <w:lsdException w:name="Intense Reference" w:semiHidden="0" w:uiPriority="29" w:unhideWhenUsed="0"/>
    <w:lsdException w:name="Book Title" w:semiHidden="0" w:uiPriority="29" w:unhideWhenUsed="0"/>
    <w:lsdException w:name="Bibliography" w:uiPriority="37"/>
    <w:lsdException w:name="TOC Heading" w:uiPriority="39" w:qFormat="1"/>
  </w:latentStyles>
  <w:style w:type="paragraph" w:default="1" w:styleId="Normal">
    <w:name w:val="Normal"/>
    <w:uiPriority w:val="1"/>
    <w:unhideWhenUsed/>
    <w:rsid w:val="00BF150B"/>
    <w:pPr>
      <w:spacing w:after="0" w:line="240" w:lineRule="auto"/>
    </w:pPr>
    <w:rPr>
      <w:rFonts w:ascii="Century Schoolbook" w:eastAsia="Times New Roman" w:hAnsi="Century Schoolbook" w:cs="Times New Roman"/>
      <w:kern w:val="20"/>
      <w:sz w:val="24"/>
      <w:szCs w:val="20"/>
    </w:rPr>
  </w:style>
  <w:style w:type="paragraph" w:styleId="Heading1">
    <w:name w:val="heading 1"/>
    <w:aliases w:val="h1"/>
    <w:basedOn w:val="Normal"/>
    <w:next w:val="BodyText"/>
    <w:link w:val="Heading1Char"/>
    <w:uiPriority w:val="4"/>
    <w:qFormat/>
    <w:rsid w:val="006235ED"/>
    <w:pPr>
      <w:keepNext/>
      <w:keepLines/>
      <w:numPr>
        <w:numId w:val="1"/>
      </w:numPr>
      <w:tabs>
        <w:tab w:val="left" w:pos="475"/>
      </w:tabs>
      <w:suppressAutoHyphens/>
      <w:spacing w:before="80" w:after="80"/>
      <w:jc w:val="center"/>
      <w:outlineLvl w:val="0"/>
    </w:pPr>
    <w:rPr>
      <w:b/>
      <w:caps/>
    </w:rPr>
  </w:style>
  <w:style w:type="paragraph" w:styleId="Heading2">
    <w:name w:val="heading 2"/>
    <w:aliases w:val="h2"/>
    <w:basedOn w:val="Heading1"/>
    <w:next w:val="BodyText"/>
    <w:link w:val="Heading2Char"/>
    <w:uiPriority w:val="5"/>
    <w:qFormat/>
    <w:rsid w:val="006235ED"/>
    <w:pPr>
      <w:numPr>
        <w:ilvl w:val="1"/>
      </w:numPr>
      <w:tabs>
        <w:tab w:val="left" w:pos="950"/>
      </w:tabs>
      <w:jc w:val="both"/>
      <w:outlineLvl w:val="1"/>
    </w:pPr>
    <w:rPr>
      <w:caps w:val="0"/>
      <w:lang w:val="x-none" w:eastAsia="x-none"/>
    </w:rPr>
  </w:style>
  <w:style w:type="paragraph" w:styleId="Heading3">
    <w:name w:val="heading 3"/>
    <w:aliases w:val="h3"/>
    <w:basedOn w:val="Heading2"/>
    <w:next w:val="BodyText"/>
    <w:link w:val="Heading3Char"/>
    <w:uiPriority w:val="6"/>
    <w:qFormat/>
    <w:rsid w:val="00E57A28"/>
    <w:pPr>
      <w:numPr>
        <w:ilvl w:val="2"/>
      </w:numPr>
      <w:outlineLvl w:val="2"/>
    </w:pPr>
  </w:style>
  <w:style w:type="paragraph" w:styleId="Heading4">
    <w:name w:val="heading 4"/>
    <w:aliases w:val="h4"/>
    <w:basedOn w:val="Heading3"/>
    <w:link w:val="Heading4Char"/>
    <w:uiPriority w:val="7"/>
    <w:unhideWhenUsed/>
    <w:qFormat/>
    <w:rsid w:val="001A1132"/>
    <w:pPr>
      <w:numPr>
        <w:ilvl w:val="3"/>
      </w:numPr>
      <w:outlineLvl w:val="3"/>
    </w:pPr>
  </w:style>
  <w:style w:type="paragraph" w:styleId="Heading5">
    <w:name w:val="heading 5"/>
    <w:aliases w:val="h5"/>
    <w:basedOn w:val="Normal"/>
    <w:link w:val="Heading5Char"/>
    <w:uiPriority w:val="8"/>
    <w:unhideWhenUsed/>
    <w:rsid w:val="00741B77"/>
    <w:pPr>
      <w:numPr>
        <w:ilvl w:val="4"/>
        <w:numId w:val="1"/>
      </w:numPr>
      <w:tabs>
        <w:tab w:val="left" w:pos="1426"/>
      </w:tabs>
      <w:spacing w:after="120"/>
      <w:jc w:val="both"/>
      <w:outlineLvl w:val="4"/>
    </w:pPr>
    <w:rPr>
      <w:b/>
      <w:spacing w:val="-2"/>
    </w:rPr>
  </w:style>
  <w:style w:type="paragraph" w:styleId="Heading6">
    <w:name w:val="heading 6"/>
    <w:aliases w:val="h6"/>
    <w:basedOn w:val="Normal"/>
    <w:link w:val="Heading6Char"/>
    <w:uiPriority w:val="9"/>
    <w:unhideWhenUsed/>
    <w:rsid w:val="00741B77"/>
    <w:pPr>
      <w:numPr>
        <w:ilvl w:val="5"/>
        <w:numId w:val="1"/>
      </w:numPr>
      <w:spacing w:after="240"/>
      <w:outlineLvl w:val="5"/>
    </w:pPr>
  </w:style>
  <w:style w:type="paragraph" w:styleId="Heading7">
    <w:name w:val="heading 7"/>
    <w:aliases w:val="h7"/>
    <w:basedOn w:val="Normal"/>
    <w:link w:val="Heading7Char"/>
    <w:uiPriority w:val="10"/>
    <w:unhideWhenUsed/>
    <w:rsid w:val="00741B77"/>
    <w:pPr>
      <w:keepNext/>
      <w:numPr>
        <w:ilvl w:val="6"/>
        <w:numId w:val="1"/>
      </w:numPr>
      <w:spacing w:after="120"/>
      <w:jc w:val="both"/>
      <w:outlineLvl w:val="6"/>
    </w:pPr>
    <w:rPr>
      <w:b/>
    </w:rPr>
  </w:style>
  <w:style w:type="paragraph" w:styleId="Heading8">
    <w:name w:val="heading 8"/>
    <w:aliases w:val="h8"/>
    <w:basedOn w:val="Normal"/>
    <w:link w:val="Heading8Char"/>
    <w:uiPriority w:val="11"/>
    <w:unhideWhenUsed/>
    <w:rsid w:val="00741B77"/>
    <w:pPr>
      <w:numPr>
        <w:ilvl w:val="7"/>
        <w:numId w:val="1"/>
      </w:numPr>
      <w:spacing w:after="240"/>
      <w:outlineLvl w:val="7"/>
    </w:pPr>
  </w:style>
  <w:style w:type="paragraph" w:styleId="Heading9">
    <w:name w:val="heading 9"/>
    <w:aliases w:val="h9"/>
    <w:basedOn w:val="Normal"/>
    <w:link w:val="Heading9Char"/>
    <w:uiPriority w:val="12"/>
    <w:unhideWhenUsed/>
    <w:rsid w:val="00741B77"/>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itionalCounselNotice">
    <w:name w:val="Additional Counsel Notice"/>
    <w:basedOn w:val="Normal"/>
    <w:next w:val="Normal"/>
    <w:uiPriority w:val="29"/>
    <w:unhideWhenUsed/>
    <w:rsid w:val="00F02732"/>
    <w:pPr>
      <w:spacing w:before="120"/>
    </w:pPr>
    <w:rPr>
      <w:i/>
      <w:sz w:val="23"/>
    </w:rPr>
  </w:style>
  <w:style w:type="paragraph" w:customStyle="1" w:styleId="CaseNumber">
    <w:name w:val="Case Number"/>
    <w:basedOn w:val="Normal"/>
    <w:uiPriority w:val="29"/>
    <w:rsid w:val="00F02732"/>
    <w:pPr>
      <w:jc w:val="center"/>
    </w:pPr>
    <w:rPr>
      <w:smallCaps/>
    </w:rPr>
  </w:style>
  <w:style w:type="paragraph" w:customStyle="1" w:styleId="Parties">
    <w:name w:val="Parties"/>
    <w:basedOn w:val="Normal"/>
    <w:uiPriority w:val="29"/>
    <w:rsid w:val="00F02732"/>
    <w:pPr>
      <w:jc w:val="center"/>
    </w:pPr>
    <w:rPr>
      <w:smallCaps/>
    </w:rPr>
  </w:style>
  <w:style w:type="paragraph" w:customStyle="1" w:styleId="BriefTitle">
    <w:name w:val="Brief Title"/>
    <w:basedOn w:val="Normal"/>
    <w:uiPriority w:val="29"/>
    <w:rsid w:val="00F02732"/>
    <w:pPr>
      <w:jc w:val="center"/>
    </w:pPr>
    <w:rPr>
      <w:b/>
    </w:rPr>
  </w:style>
  <w:style w:type="paragraph" w:customStyle="1" w:styleId="Circuit">
    <w:name w:val="Circuit"/>
    <w:basedOn w:val="Normal"/>
    <w:uiPriority w:val="29"/>
    <w:rsid w:val="00F02732"/>
    <w:pPr>
      <w:spacing w:line="215" w:lineRule="exact"/>
      <w:jc w:val="center"/>
    </w:pPr>
    <w:rPr>
      <w:b/>
    </w:rPr>
  </w:style>
  <w:style w:type="paragraph" w:styleId="TOC1">
    <w:name w:val="toc 1"/>
    <w:basedOn w:val="Normal"/>
    <w:next w:val="BodyText"/>
    <w:uiPriority w:val="39"/>
    <w:unhideWhenUsed/>
    <w:rsid w:val="00CF5C95"/>
    <w:pPr>
      <w:tabs>
        <w:tab w:val="right" w:leader="dot" w:pos="5904"/>
      </w:tabs>
      <w:spacing w:after="80"/>
      <w:ind w:left="187" w:right="475" w:hanging="187"/>
      <w:jc w:val="both"/>
    </w:pPr>
  </w:style>
  <w:style w:type="paragraph" w:customStyle="1" w:styleId="CounselofRecord">
    <w:name w:val="Counsel of Record"/>
    <w:basedOn w:val="Normal"/>
    <w:uiPriority w:val="29"/>
    <w:rsid w:val="00F02732"/>
    <w:rPr>
      <w:smallCaps/>
      <w:sz w:val="22"/>
    </w:rPr>
  </w:style>
  <w:style w:type="paragraph" w:styleId="Date">
    <w:name w:val="Date"/>
    <w:basedOn w:val="Normal"/>
    <w:next w:val="Normal"/>
    <w:link w:val="DateChar"/>
    <w:uiPriority w:val="29"/>
    <w:rsid w:val="00F02732"/>
  </w:style>
  <w:style w:type="character" w:customStyle="1" w:styleId="DateChar">
    <w:name w:val="Date Char"/>
    <w:basedOn w:val="DefaultParagraphFont"/>
    <w:link w:val="Date"/>
    <w:uiPriority w:val="29"/>
    <w:rsid w:val="00F02732"/>
    <w:rPr>
      <w:rFonts w:ascii="Century Schoolbook" w:eastAsia="Times New Roman" w:hAnsi="Century Schoolbook" w:cs="Times New Roman"/>
      <w:kern w:val="20"/>
      <w:sz w:val="24"/>
      <w:szCs w:val="20"/>
    </w:rPr>
  </w:style>
  <w:style w:type="paragraph" w:styleId="Title">
    <w:name w:val="Title"/>
    <w:basedOn w:val="Normal"/>
    <w:next w:val="Normal"/>
    <w:link w:val="TitleChar"/>
    <w:uiPriority w:val="29"/>
    <w:rsid w:val="00747681"/>
    <w:pPr>
      <w:spacing w:after="120"/>
      <w:jc w:val="center"/>
    </w:pPr>
    <w:rPr>
      <w:b/>
      <w:szCs w:val="24"/>
    </w:rPr>
  </w:style>
  <w:style w:type="character" w:customStyle="1" w:styleId="TitleChar">
    <w:name w:val="Title Char"/>
    <w:basedOn w:val="DefaultParagraphFont"/>
    <w:link w:val="Title"/>
    <w:uiPriority w:val="29"/>
    <w:rsid w:val="00CC6D0B"/>
    <w:rPr>
      <w:rFonts w:ascii="Century Schoolbook" w:eastAsia="Times New Roman" w:hAnsi="Century Schoolbook" w:cs="Times New Roman"/>
      <w:b/>
      <w:sz w:val="24"/>
      <w:szCs w:val="24"/>
    </w:rPr>
  </w:style>
  <w:style w:type="paragraph" w:styleId="BodyText">
    <w:name w:val="Body Text"/>
    <w:aliases w:val="bt"/>
    <w:basedOn w:val="Normal"/>
    <w:link w:val="BodyTextChar"/>
    <w:qFormat/>
    <w:rsid w:val="00F02732"/>
    <w:pPr>
      <w:suppressAutoHyphens/>
      <w:spacing w:after="80"/>
      <w:ind w:firstLine="475"/>
      <w:jc w:val="both"/>
    </w:pPr>
  </w:style>
  <w:style w:type="paragraph" w:styleId="Header">
    <w:name w:val="header"/>
    <w:basedOn w:val="Normal"/>
    <w:link w:val="HeaderChar"/>
    <w:uiPriority w:val="99"/>
    <w:unhideWhenUsed/>
    <w:rsid w:val="00F02732"/>
    <w:pPr>
      <w:tabs>
        <w:tab w:val="center" w:pos="4680"/>
        <w:tab w:val="right" w:pos="9360"/>
      </w:tabs>
    </w:pPr>
  </w:style>
  <w:style w:type="character" w:customStyle="1" w:styleId="BodyTextChar">
    <w:name w:val="Body Text Char"/>
    <w:aliases w:val="bt Char"/>
    <w:basedOn w:val="DefaultParagraphFont"/>
    <w:link w:val="BodyText"/>
    <w:rsid w:val="00F02732"/>
    <w:rPr>
      <w:rFonts w:ascii="Century Schoolbook" w:eastAsia="Times New Roman" w:hAnsi="Century Schoolbook" w:cs="Times New Roman"/>
      <w:kern w:val="20"/>
      <w:sz w:val="24"/>
      <w:szCs w:val="20"/>
    </w:rPr>
  </w:style>
  <w:style w:type="character" w:customStyle="1" w:styleId="HeaderChar">
    <w:name w:val="Header Char"/>
    <w:basedOn w:val="DefaultParagraphFont"/>
    <w:link w:val="Header"/>
    <w:uiPriority w:val="99"/>
    <w:rsid w:val="00F02732"/>
    <w:rPr>
      <w:rFonts w:ascii="Century Schoolbook" w:eastAsia="Times New Roman" w:hAnsi="Century Schoolbook" w:cs="Times New Roman"/>
      <w:kern w:val="20"/>
      <w:sz w:val="24"/>
      <w:szCs w:val="20"/>
    </w:rPr>
  </w:style>
  <w:style w:type="paragraph" w:styleId="Footer">
    <w:name w:val="footer"/>
    <w:basedOn w:val="Normal"/>
    <w:link w:val="FooterChar"/>
    <w:uiPriority w:val="99"/>
    <w:unhideWhenUsed/>
    <w:rsid w:val="00741B77"/>
    <w:pPr>
      <w:tabs>
        <w:tab w:val="center" w:pos="4680"/>
        <w:tab w:val="right" w:pos="9360"/>
      </w:tabs>
    </w:pPr>
  </w:style>
  <w:style w:type="character" w:customStyle="1" w:styleId="FooterChar">
    <w:name w:val="Footer Char"/>
    <w:basedOn w:val="DefaultParagraphFont"/>
    <w:link w:val="Footer"/>
    <w:uiPriority w:val="99"/>
    <w:rsid w:val="00741B77"/>
    <w:rPr>
      <w:rFonts w:ascii="Century Schoolbook" w:eastAsia="Times New Roman" w:hAnsi="Century Schoolbook" w:cs="Times New Roman"/>
      <w:sz w:val="24"/>
      <w:szCs w:val="20"/>
    </w:rPr>
  </w:style>
  <w:style w:type="character" w:customStyle="1" w:styleId="Heading1Char">
    <w:name w:val="Heading 1 Char"/>
    <w:aliases w:val="h1 Char"/>
    <w:basedOn w:val="DefaultParagraphFont"/>
    <w:link w:val="Heading1"/>
    <w:uiPriority w:val="4"/>
    <w:rsid w:val="006235ED"/>
    <w:rPr>
      <w:rFonts w:ascii="Century Schoolbook" w:eastAsia="Times New Roman" w:hAnsi="Century Schoolbook" w:cs="Times New Roman"/>
      <w:b/>
      <w:caps/>
      <w:kern w:val="20"/>
      <w:sz w:val="24"/>
      <w:szCs w:val="20"/>
    </w:rPr>
  </w:style>
  <w:style w:type="character" w:customStyle="1" w:styleId="Heading2Char">
    <w:name w:val="Heading 2 Char"/>
    <w:aliases w:val="h2 Char"/>
    <w:basedOn w:val="DefaultParagraphFont"/>
    <w:link w:val="Heading2"/>
    <w:uiPriority w:val="5"/>
    <w:rsid w:val="006235ED"/>
    <w:rPr>
      <w:rFonts w:ascii="Century Schoolbook" w:eastAsia="Times New Roman" w:hAnsi="Century Schoolbook" w:cs="Times New Roman"/>
      <w:b/>
      <w:kern w:val="20"/>
      <w:sz w:val="24"/>
      <w:szCs w:val="20"/>
      <w:lang w:val="x-none" w:eastAsia="x-none"/>
    </w:rPr>
  </w:style>
  <w:style w:type="character" w:customStyle="1" w:styleId="Heading3Char">
    <w:name w:val="Heading 3 Char"/>
    <w:aliases w:val="h3 Char"/>
    <w:basedOn w:val="DefaultParagraphFont"/>
    <w:link w:val="Heading3"/>
    <w:uiPriority w:val="6"/>
    <w:rsid w:val="00E57A28"/>
    <w:rPr>
      <w:rFonts w:ascii="Century Schoolbook" w:eastAsia="Times New Roman" w:hAnsi="Century Schoolbook" w:cs="Times New Roman"/>
      <w:b/>
      <w:sz w:val="24"/>
      <w:szCs w:val="20"/>
      <w:lang w:val="x-none" w:eastAsia="x-none"/>
    </w:rPr>
  </w:style>
  <w:style w:type="character" w:customStyle="1" w:styleId="Heading4Char">
    <w:name w:val="Heading 4 Char"/>
    <w:aliases w:val="h4 Char"/>
    <w:basedOn w:val="DefaultParagraphFont"/>
    <w:link w:val="Heading4"/>
    <w:uiPriority w:val="7"/>
    <w:rsid w:val="001A1132"/>
    <w:rPr>
      <w:rFonts w:ascii="Century" w:eastAsia="Times New Roman" w:hAnsi="Century" w:cs="Times New Roman"/>
      <w:b/>
      <w:kern w:val="20"/>
      <w:sz w:val="24"/>
      <w:szCs w:val="20"/>
      <w:lang w:val="x-none" w:eastAsia="x-none"/>
    </w:rPr>
  </w:style>
  <w:style w:type="character" w:customStyle="1" w:styleId="Heading5Char">
    <w:name w:val="Heading 5 Char"/>
    <w:aliases w:val="h5 Char"/>
    <w:basedOn w:val="DefaultParagraphFont"/>
    <w:link w:val="Heading5"/>
    <w:uiPriority w:val="8"/>
    <w:rsid w:val="00461EA7"/>
    <w:rPr>
      <w:rFonts w:ascii="Century Schoolbook" w:eastAsia="Times New Roman" w:hAnsi="Century Schoolbook" w:cs="Times New Roman"/>
      <w:b/>
      <w:spacing w:val="-2"/>
      <w:sz w:val="24"/>
      <w:szCs w:val="20"/>
    </w:rPr>
  </w:style>
  <w:style w:type="character" w:customStyle="1" w:styleId="Heading6Char">
    <w:name w:val="Heading 6 Char"/>
    <w:aliases w:val="h6 Char"/>
    <w:basedOn w:val="DefaultParagraphFont"/>
    <w:link w:val="Heading6"/>
    <w:uiPriority w:val="9"/>
    <w:rsid w:val="00461EA7"/>
    <w:rPr>
      <w:rFonts w:ascii="Century Schoolbook" w:eastAsia="Times New Roman" w:hAnsi="Century Schoolbook" w:cs="Times New Roman"/>
      <w:sz w:val="24"/>
      <w:szCs w:val="20"/>
    </w:rPr>
  </w:style>
  <w:style w:type="character" w:customStyle="1" w:styleId="Heading7Char">
    <w:name w:val="Heading 7 Char"/>
    <w:aliases w:val="h7 Char"/>
    <w:basedOn w:val="DefaultParagraphFont"/>
    <w:link w:val="Heading7"/>
    <w:uiPriority w:val="10"/>
    <w:rsid w:val="00461EA7"/>
    <w:rPr>
      <w:rFonts w:ascii="Century Schoolbook" w:eastAsia="Times New Roman" w:hAnsi="Century Schoolbook" w:cs="Times New Roman"/>
      <w:b/>
      <w:sz w:val="24"/>
      <w:szCs w:val="20"/>
    </w:rPr>
  </w:style>
  <w:style w:type="character" w:customStyle="1" w:styleId="Heading8Char">
    <w:name w:val="Heading 8 Char"/>
    <w:aliases w:val="h8 Char"/>
    <w:basedOn w:val="DefaultParagraphFont"/>
    <w:link w:val="Heading8"/>
    <w:uiPriority w:val="11"/>
    <w:rsid w:val="00461EA7"/>
    <w:rPr>
      <w:rFonts w:ascii="Century Schoolbook" w:eastAsia="Times New Roman" w:hAnsi="Century Schoolbook" w:cs="Times New Roman"/>
      <w:sz w:val="24"/>
      <w:szCs w:val="20"/>
    </w:rPr>
  </w:style>
  <w:style w:type="character" w:customStyle="1" w:styleId="Heading9Char">
    <w:name w:val="Heading 9 Char"/>
    <w:aliases w:val="h9 Char"/>
    <w:basedOn w:val="DefaultParagraphFont"/>
    <w:link w:val="Heading9"/>
    <w:uiPriority w:val="12"/>
    <w:rsid w:val="00461EA7"/>
    <w:rPr>
      <w:rFonts w:ascii="Century Schoolbook" w:eastAsia="Times New Roman" w:hAnsi="Century Schoolbook" w:cs="Times New Roman"/>
      <w:sz w:val="24"/>
      <w:szCs w:val="20"/>
    </w:rPr>
  </w:style>
  <w:style w:type="paragraph" w:styleId="TOC2">
    <w:name w:val="toc 2"/>
    <w:basedOn w:val="TOC1"/>
    <w:next w:val="Normal"/>
    <w:uiPriority w:val="39"/>
    <w:unhideWhenUsed/>
    <w:rsid w:val="006235ED"/>
    <w:pPr>
      <w:ind w:left="475" w:hanging="475"/>
    </w:pPr>
  </w:style>
  <w:style w:type="paragraph" w:styleId="Subtitle">
    <w:name w:val="Subtitle"/>
    <w:aliases w:val="st"/>
    <w:basedOn w:val="Normal"/>
    <w:link w:val="SubtitleChar"/>
    <w:uiPriority w:val="29"/>
    <w:unhideWhenUsed/>
    <w:rsid w:val="00741B77"/>
    <w:pPr>
      <w:keepNext/>
      <w:spacing w:after="120"/>
      <w:jc w:val="center"/>
    </w:pPr>
    <w:rPr>
      <w:b/>
    </w:rPr>
  </w:style>
  <w:style w:type="character" w:customStyle="1" w:styleId="SubtitleChar">
    <w:name w:val="Subtitle Char"/>
    <w:aliases w:val="st Char"/>
    <w:basedOn w:val="DefaultParagraphFont"/>
    <w:link w:val="Subtitle"/>
    <w:uiPriority w:val="29"/>
    <w:rsid w:val="00CC6D0B"/>
    <w:rPr>
      <w:rFonts w:ascii="Century Schoolbook" w:eastAsia="Times New Roman" w:hAnsi="Century Schoolbook" w:cs="Times New Roman"/>
      <w:b/>
      <w:sz w:val="24"/>
      <w:szCs w:val="20"/>
    </w:rPr>
  </w:style>
  <w:style w:type="paragraph" w:styleId="Closing">
    <w:name w:val="Closing"/>
    <w:aliases w:val="cl"/>
    <w:basedOn w:val="Normal"/>
    <w:link w:val="ClosingChar"/>
    <w:uiPriority w:val="29"/>
    <w:rsid w:val="00741B77"/>
    <w:pPr>
      <w:ind w:left="5040"/>
    </w:pPr>
  </w:style>
  <w:style w:type="character" w:customStyle="1" w:styleId="ClosingChar">
    <w:name w:val="Closing Char"/>
    <w:aliases w:val="cl Char"/>
    <w:basedOn w:val="DefaultParagraphFont"/>
    <w:link w:val="Closing"/>
    <w:uiPriority w:val="29"/>
    <w:rsid w:val="00CC6D0B"/>
    <w:rPr>
      <w:rFonts w:ascii="Century Schoolbook" w:eastAsia="Times New Roman" w:hAnsi="Century Schoolbook" w:cs="Times New Roman"/>
      <w:sz w:val="24"/>
      <w:szCs w:val="20"/>
    </w:rPr>
  </w:style>
  <w:style w:type="paragraph" w:customStyle="1" w:styleId="Heading1noTOC">
    <w:name w:val="Heading 1 (no TOC)"/>
    <w:basedOn w:val="Heading1"/>
    <w:uiPriority w:val="13"/>
    <w:semiHidden/>
    <w:unhideWhenUsed/>
    <w:qFormat/>
    <w:rsid w:val="00C73C8E"/>
    <w:pPr>
      <w:outlineLvl w:val="9"/>
    </w:pPr>
  </w:style>
  <w:style w:type="paragraph" w:styleId="BlockText">
    <w:name w:val="Block Text"/>
    <w:aliases w:val="Block Quote,bq"/>
    <w:basedOn w:val="BodyText"/>
    <w:next w:val="BodyText"/>
    <w:uiPriority w:val="1"/>
    <w:unhideWhenUsed/>
    <w:qFormat/>
    <w:rsid w:val="00FC69A3"/>
    <w:pPr>
      <w:ind w:left="475" w:right="475" w:firstLine="0"/>
    </w:pPr>
    <w:rPr>
      <w:rFonts w:eastAsiaTheme="minorEastAsia" w:cstheme="minorBidi"/>
      <w:iCs/>
    </w:rPr>
  </w:style>
  <w:style w:type="paragraph" w:styleId="FootnoteText">
    <w:name w:val="footnote text"/>
    <w:basedOn w:val="BodyText"/>
    <w:link w:val="FootnoteTextChar"/>
    <w:uiPriority w:val="99"/>
    <w:qFormat/>
    <w:rsid w:val="00373DE0"/>
    <w:pPr>
      <w:ind w:firstLine="187"/>
    </w:pPr>
    <w:rPr>
      <w:sz w:val="20"/>
    </w:rPr>
  </w:style>
  <w:style w:type="character" w:customStyle="1" w:styleId="FootnoteTextChar">
    <w:name w:val="Footnote Text Char"/>
    <w:basedOn w:val="DefaultParagraphFont"/>
    <w:link w:val="FootnoteText"/>
    <w:uiPriority w:val="99"/>
    <w:rsid w:val="00373DE0"/>
    <w:rPr>
      <w:rFonts w:ascii="Century Schoolbook" w:eastAsia="Times New Roman" w:hAnsi="Century Schoolbook" w:cs="Times New Roman"/>
      <w:kern w:val="20"/>
      <w:sz w:val="20"/>
      <w:szCs w:val="20"/>
    </w:rPr>
  </w:style>
  <w:style w:type="character" w:styleId="FootnoteReference">
    <w:name w:val="footnote reference"/>
    <w:basedOn w:val="DefaultParagraphFont"/>
    <w:uiPriority w:val="99"/>
    <w:unhideWhenUsed/>
    <w:rsid w:val="00BF150B"/>
    <w:rPr>
      <w:rFonts w:ascii="Century Schoolbook" w:hAnsi="Century Schoolbook"/>
      <w:sz w:val="20"/>
      <w:vertAlign w:val="superscript"/>
    </w:rPr>
  </w:style>
  <w:style w:type="character" w:styleId="Hyperlink">
    <w:name w:val="Hyperlink"/>
    <w:basedOn w:val="DefaultParagraphFont"/>
    <w:uiPriority w:val="99"/>
    <w:unhideWhenUsed/>
    <w:rsid w:val="00D10449"/>
    <w:rPr>
      <w:color w:val="auto"/>
      <w:u w:val="none"/>
    </w:rPr>
  </w:style>
  <w:style w:type="paragraph" w:styleId="TOC3">
    <w:name w:val="toc 3"/>
    <w:basedOn w:val="TOC2"/>
    <w:next w:val="BodyText"/>
    <w:uiPriority w:val="39"/>
    <w:unhideWhenUsed/>
    <w:rsid w:val="00F92781"/>
    <w:pPr>
      <w:tabs>
        <w:tab w:val="left" w:pos="950"/>
      </w:tabs>
      <w:ind w:left="950"/>
    </w:pPr>
  </w:style>
  <w:style w:type="paragraph" w:customStyle="1" w:styleId="BlockText2">
    <w:name w:val="Block Text 2"/>
    <w:aliases w:val="Block Quote 2,bq2"/>
    <w:basedOn w:val="BlockText"/>
    <w:next w:val="BodyText"/>
    <w:uiPriority w:val="1"/>
    <w:rsid w:val="003C537B"/>
  </w:style>
  <w:style w:type="paragraph" w:styleId="TableofAuthorities">
    <w:name w:val="table of authorities"/>
    <w:basedOn w:val="Normal"/>
    <w:next w:val="Normal"/>
    <w:uiPriority w:val="99"/>
    <w:semiHidden/>
    <w:unhideWhenUsed/>
    <w:rsid w:val="00577B12"/>
    <w:pPr>
      <w:tabs>
        <w:tab w:val="right" w:leader="dot" w:pos="5904"/>
      </w:tabs>
      <w:spacing w:after="80"/>
      <w:ind w:left="187" w:right="907" w:hanging="187"/>
    </w:pPr>
  </w:style>
  <w:style w:type="paragraph" w:styleId="TOAHeading">
    <w:name w:val="toa heading"/>
    <w:basedOn w:val="BodyText"/>
    <w:next w:val="Normal"/>
    <w:uiPriority w:val="99"/>
    <w:unhideWhenUsed/>
    <w:rsid w:val="006235ED"/>
    <w:pPr>
      <w:spacing w:before="80"/>
      <w:ind w:firstLine="0"/>
    </w:pPr>
    <w:rPr>
      <w:rFonts w:eastAsiaTheme="majorEastAsia" w:cstheme="majorBidi"/>
      <w:b/>
      <w:bCs/>
      <w:szCs w:val="24"/>
    </w:rPr>
  </w:style>
  <w:style w:type="paragraph" w:styleId="BalloonText">
    <w:name w:val="Balloon Text"/>
    <w:basedOn w:val="Normal"/>
    <w:link w:val="BalloonTextChar"/>
    <w:uiPriority w:val="99"/>
    <w:semiHidden/>
    <w:unhideWhenUsed/>
    <w:rsid w:val="0020641E"/>
    <w:rPr>
      <w:rFonts w:ascii="Tahoma" w:hAnsi="Tahoma" w:cs="Tahoma"/>
      <w:sz w:val="16"/>
      <w:szCs w:val="16"/>
    </w:rPr>
  </w:style>
  <w:style w:type="character" w:customStyle="1" w:styleId="BalloonTextChar">
    <w:name w:val="Balloon Text Char"/>
    <w:basedOn w:val="DefaultParagraphFont"/>
    <w:link w:val="BalloonText"/>
    <w:uiPriority w:val="99"/>
    <w:semiHidden/>
    <w:rsid w:val="0020641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0641E"/>
    <w:rPr>
      <w:sz w:val="16"/>
      <w:szCs w:val="16"/>
    </w:rPr>
  </w:style>
  <w:style w:type="paragraph" w:styleId="CommentText">
    <w:name w:val="annotation text"/>
    <w:basedOn w:val="Normal"/>
    <w:link w:val="CommentTextChar"/>
    <w:uiPriority w:val="99"/>
    <w:semiHidden/>
    <w:unhideWhenUsed/>
    <w:rsid w:val="0020641E"/>
    <w:rPr>
      <w:sz w:val="20"/>
    </w:rPr>
  </w:style>
  <w:style w:type="character" w:customStyle="1" w:styleId="CommentTextChar">
    <w:name w:val="Comment Text Char"/>
    <w:basedOn w:val="DefaultParagraphFont"/>
    <w:link w:val="CommentText"/>
    <w:uiPriority w:val="99"/>
    <w:semiHidden/>
    <w:rsid w:val="0020641E"/>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20641E"/>
    <w:rPr>
      <w:b/>
      <w:bCs/>
    </w:rPr>
  </w:style>
  <w:style w:type="character" w:customStyle="1" w:styleId="CommentSubjectChar">
    <w:name w:val="Comment Subject Char"/>
    <w:basedOn w:val="CommentTextChar"/>
    <w:link w:val="CommentSubject"/>
    <w:uiPriority w:val="99"/>
    <w:semiHidden/>
    <w:rsid w:val="0020641E"/>
    <w:rPr>
      <w:rFonts w:ascii="Century Schoolbook" w:eastAsia="Times New Roman" w:hAnsi="Century Schoolbook" w:cs="Times New Roman"/>
      <w:b/>
      <w:bCs/>
      <w:sz w:val="20"/>
      <w:szCs w:val="20"/>
    </w:rPr>
  </w:style>
  <w:style w:type="paragraph" w:styleId="ListParagraph">
    <w:name w:val="List Paragraph"/>
    <w:aliases w:val="lp"/>
    <w:basedOn w:val="Normal"/>
    <w:uiPriority w:val="34"/>
    <w:qFormat/>
    <w:rsid w:val="00462DF4"/>
    <w:pPr>
      <w:numPr>
        <w:numId w:val="14"/>
      </w:numPr>
      <w:ind w:left="1440"/>
      <w:contextualSpacing/>
    </w:pPr>
    <w:rPr>
      <w:rFonts w:ascii="Century" w:eastAsiaTheme="minorEastAsia" w:hAnsi="Century" w:cstheme="minorBidi"/>
      <w:szCs w:val="24"/>
    </w:rPr>
  </w:style>
  <w:style w:type="character" w:styleId="FollowedHyperlink">
    <w:name w:val="FollowedHyperlink"/>
    <w:basedOn w:val="DefaultParagraphFont"/>
    <w:uiPriority w:val="99"/>
    <w:semiHidden/>
    <w:unhideWhenUsed/>
    <w:rsid w:val="008469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89225">
      <w:bodyDiv w:val="1"/>
      <w:marLeft w:val="0"/>
      <w:marRight w:val="0"/>
      <w:marTop w:val="0"/>
      <w:marBottom w:val="0"/>
      <w:divBdr>
        <w:top w:val="none" w:sz="0" w:space="0" w:color="auto"/>
        <w:left w:val="none" w:sz="0" w:space="0" w:color="auto"/>
        <w:bottom w:val="none" w:sz="0" w:space="0" w:color="auto"/>
        <w:right w:val="none" w:sz="0" w:space="0" w:color="auto"/>
      </w:divBdr>
    </w:div>
    <w:div w:id="758020923">
      <w:bodyDiv w:val="1"/>
      <w:marLeft w:val="0"/>
      <w:marRight w:val="0"/>
      <w:marTop w:val="0"/>
      <w:marBottom w:val="0"/>
      <w:divBdr>
        <w:top w:val="none" w:sz="0" w:space="0" w:color="auto"/>
        <w:left w:val="none" w:sz="0" w:space="0" w:color="auto"/>
        <w:bottom w:val="none" w:sz="0" w:space="0" w:color="auto"/>
        <w:right w:val="none" w:sz="0" w:space="0" w:color="auto"/>
      </w:divBdr>
    </w:div>
    <w:div w:id="130076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axfoundation.org/article/local-income-taxes-city-and-county-level-income-and-wage-taxes-continue-wane" TargetMode="External"/><Relationship Id="rId18" Type="http://schemas.openxmlformats.org/officeDocument/2006/relationships/hyperlink" Target="http://dbm.maryland.gov/agencies/operbudget/documents/2014/budgethighlightsfy2014.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orbes.com/sites/beltway/2013/09/05/how-some-high-income-people-avoid-paying-federal-income-tax" TargetMode="External"/><Relationship Id="rId7" Type="http://schemas.openxmlformats.org/officeDocument/2006/relationships/footnotes" Target="footnotes.xml"/><Relationship Id="rId12" Type="http://schemas.openxmlformats.org/officeDocument/2006/relationships/hyperlink" Target="http://taxfoundation.org/sites/taxfoundation.org/files/docs/2014TaxFoundationIndex_FINAL.pdf" TargetMode="External"/><Relationship Id="rId17" Type="http://schemas.openxmlformats.org/officeDocument/2006/relationships/hyperlink" Target="http://www.taxpolicycenter.org/UploadedPDF/412959-Residential-Property-Taxes.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upreme.justia.com/us/240/1/case.html" TargetMode="External"/><Relationship Id="rId20" Type="http://schemas.openxmlformats.org/officeDocument/2006/relationships/hyperlink" Target="http://www.dbm.maryland.gov/agencies/operbudget/Documents/2014/FY14TaxExpendituresRp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census.gov/govs/local/summary_report.pdf" TargetMode="External"/><Relationship Id="rId24" Type="http://schemas.openxmlformats.org/officeDocument/2006/relationships/hyperlink" Target="mailto:pclement@bancroftpllc.com" TargetMode="External"/><Relationship Id="rId5" Type="http://schemas.openxmlformats.org/officeDocument/2006/relationships/settings" Target="settings.xml"/><Relationship Id="rId15" Type="http://schemas.openxmlformats.org/officeDocument/2006/relationships/hyperlink" Target="http://en.wikipedia.org/wiki/United_States_Reports" TargetMode="External"/><Relationship Id="rId23" Type="http://schemas.openxmlformats.org/officeDocument/2006/relationships/hyperlink" Target="http://www.dornc.com/taxes/individual/another.html" TargetMode="External"/><Relationship Id="rId10" Type="http://schemas.openxmlformats.org/officeDocument/2006/relationships/header" Target="header2.xml"/><Relationship Id="rId19" Type="http://schemas.openxmlformats.org/officeDocument/2006/relationships/hyperlink" Target="http://www.howardcountymd.gov/departments.aspx?ID=49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tep.org/pdf/whopaysreport.pdf" TargetMode="External"/><Relationship Id="rId22" Type="http://schemas.openxmlformats.org/officeDocument/2006/relationships/hyperlink" Target="http://forms.marylandtaxes.com/06_forms/residentbook.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taxes.marylandtaxes.com/Business_Taxes/Business_Tax_Types/Income_Tax/Employer_Withholding/Withholding_Information/Nonresident_Income_Tax_Ra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D4E81-BE59-4698-8264-B73F67BC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6471</Words>
  <Characters>36890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Bancroft</dc:creator>
  <cp:lastModifiedBy>cbarberot</cp:lastModifiedBy>
  <cp:revision>2</cp:revision>
  <cp:lastPrinted>2014-07-22T15:45:00Z</cp:lastPrinted>
  <dcterms:created xsi:type="dcterms:W3CDTF">2014-08-18T14:31:00Z</dcterms:created>
  <dcterms:modified xsi:type="dcterms:W3CDTF">2014-08-18T14:31:00Z</dcterms:modified>
</cp:coreProperties>
</file>