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4"/>
        <w:gridCol w:w="2616"/>
      </w:tblGrid>
      <w:tr w:rsidR="00186EF1" w:rsidRPr="00186EF1" w:rsidTr="008D130E">
        <w:tc>
          <w:tcPr>
            <w:tcW w:w="9360" w:type="dxa"/>
            <w:gridSpan w:val="2"/>
          </w:tcPr>
          <w:p w:rsidR="00186EF1" w:rsidRPr="002C5A6D" w:rsidRDefault="00DA4C3A" w:rsidP="002C5A6D">
            <w:pPr>
              <w:jc w:val="center"/>
              <w:rPr>
                <w:rFonts w:asciiTheme="majorHAnsi" w:hAnsiTheme="majorHAnsi"/>
                <w:b/>
                <w:color w:val="1F497D" w:themeColor="text2"/>
                <w:sz w:val="32"/>
              </w:rPr>
            </w:pPr>
            <w:r w:rsidRPr="002C5A6D">
              <w:rPr>
                <w:rFonts w:asciiTheme="majorHAnsi" w:hAnsiTheme="majorHAnsi"/>
                <w:b/>
                <w:color w:val="1F497D" w:themeColor="text2"/>
                <w:sz w:val="32"/>
              </w:rPr>
              <w:t>Leade</w:t>
            </w:r>
            <w:r w:rsidR="002C5A6D" w:rsidRPr="002C5A6D">
              <w:rPr>
                <w:rFonts w:asciiTheme="majorHAnsi" w:hAnsiTheme="majorHAnsi"/>
                <w:b/>
                <w:color w:val="1F497D" w:themeColor="text2"/>
                <w:sz w:val="32"/>
              </w:rPr>
              <w:t xml:space="preserve">rship ICMA 2015 – Team </w:t>
            </w:r>
            <w:r w:rsidR="00836048">
              <w:rPr>
                <w:rFonts w:asciiTheme="majorHAnsi" w:hAnsiTheme="majorHAnsi"/>
                <w:b/>
                <w:color w:val="1F497D" w:themeColor="text2"/>
                <w:sz w:val="32"/>
              </w:rPr>
              <w:t>Tacoma, Washington</w:t>
            </w:r>
          </w:p>
          <w:p w:rsidR="00186EF1" w:rsidRPr="00186EF1" w:rsidRDefault="00186EF1" w:rsidP="00186EF1">
            <w:pPr>
              <w:rPr>
                <w:rFonts w:asciiTheme="majorHAnsi" w:hAnsiTheme="majorHAnsi"/>
              </w:rPr>
            </w:pPr>
          </w:p>
        </w:tc>
      </w:tr>
      <w:tr w:rsidR="00836048" w:rsidRPr="00186EF1" w:rsidTr="008D130E">
        <w:tc>
          <w:tcPr>
            <w:tcW w:w="6744" w:type="dxa"/>
            <w:vAlign w:val="center"/>
          </w:tcPr>
          <w:p w:rsidR="002C5A6D" w:rsidRPr="002C5A6D" w:rsidRDefault="00836048" w:rsidP="00845EA2">
            <w:pPr>
              <w:pStyle w:val="Heading1"/>
              <w:outlineLvl w:val="0"/>
              <w:rPr>
                <w:sz w:val="24"/>
              </w:rPr>
            </w:pPr>
            <w:bookmarkStart w:id="0" w:name="_GoBack"/>
            <w:r w:rsidRPr="00836048">
              <w:t xml:space="preserve">Human Services Funding: A Framework for Improved Outcomes </w:t>
            </w:r>
            <w:proofErr w:type="gramStart"/>
            <w:r w:rsidR="00845EA2">
              <w:t>T</w:t>
            </w:r>
            <w:r w:rsidR="00845EA2" w:rsidRPr="00836048">
              <w:t>hrough</w:t>
            </w:r>
            <w:proofErr w:type="gramEnd"/>
            <w:r w:rsidRPr="00836048">
              <w:t xml:space="preserve"> Strategic Investments</w:t>
            </w:r>
            <w:bookmarkEnd w:id="0"/>
          </w:p>
        </w:tc>
        <w:tc>
          <w:tcPr>
            <w:tcW w:w="2616" w:type="dxa"/>
            <w:vMerge w:val="restart"/>
            <w:vAlign w:val="center"/>
          </w:tcPr>
          <w:p w:rsidR="002C5A6D" w:rsidRPr="00186EF1" w:rsidRDefault="00836048" w:rsidP="002C5A6D">
            <w:pPr>
              <w:rPr>
                <w:rFonts w:asciiTheme="majorHAnsi" w:hAnsiTheme="majorHAnsi"/>
              </w:rPr>
            </w:pPr>
            <w:r w:rsidRPr="00836048">
              <w:rPr>
                <w:rFonts w:asciiTheme="majorHAnsi" w:hAnsiTheme="majorHAnsi"/>
                <w:noProof/>
              </w:rPr>
              <w:drawing>
                <wp:inline distT="0" distB="0" distL="0" distR="0">
                  <wp:extent cx="1524000" cy="1524000"/>
                  <wp:effectExtent l="0" t="0" r="0" b="0"/>
                  <wp:docPr id="1" name="Picture 1" descr="https://tacomastories.files.wordpress.com/2015/08/tacoma-city-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comastories.files.wordpress.com/2015/08/tacoma-city-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r w:rsidR="00845EA2" w:rsidRPr="00186EF1" w:rsidTr="008D130E">
        <w:tc>
          <w:tcPr>
            <w:tcW w:w="6744" w:type="dxa"/>
            <w:vAlign w:val="center"/>
          </w:tcPr>
          <w:p w:rsidR="00845EA2" w:rsidRPr="00836048" w:rsidRDefault="00845EA2" w:rsidP="00186EF1">
            <w:pPr>
              <w:rPr>
                <w:rFonts w:asciiTheme="majorHAnsi" w:hAnsiTheme="majorHAnsi"/>
                <w:b/>
                <w:i/>
                <w:sz w:val="24"/>
              </w:rPr>
            </w:pPr>
          </w:p>
        </w:tc>
        <w:tc>
          <w:tcPr>
            <w:tcW w:w="2616" w:type="dxa"/>
            <w:vMerge/>
            <w:vAlign w:val="center"/>
          </w:tcPr>
          <w:p w:rsidR="00845EA2" w:rsidRPr="00836048" w:rsidRDefault="00845EA2" w:rsidP="002C5A6D">
            <w:pPr>
              <w:rPr>
                <w:rFonts w:asciiTheme="majorHAnsi" w:hAnsiTheme="majorHAnsi"/>
              </w:rPr>
            </w:pPr>
          </w:p>
        </w:tc>
      </w:tr>
      <w:tr w:rsidR="00836048" w:rsidRPr="00186EF1" w:rsidTr="008D130E">
        <w:trPr>
          <w:trHeight w:val="1253"/>
        </w:trPr>
        <w:tc>
          <w:tcPr>
            <w:tcW w:w="6744" w:type="dxa"/>
            <w:vAlign w:val="center"/>
          </w:tcPr>
          <w:p w:rsidR="00411D57" w:rsidRDefault="00836048" w:rsidP="00186EF1">
            <w:pPr>
              <w:rPr>
                <w:rFonts w:asciiTheme="majorHAnsi" w:hAnsiTheme="majorHAnsi"/>
                <w:sz w:val="24"/>
              </w:rPr>
            </w:pPr>
            <w:r>
              <w:rPr>
                <w:rFonts w:asciiTheme="majorHAnsi" w:hAnsiTheme="majorHAnsi"/>
                <w:sz w:val="24"/>
              </w:rPr>
              <w:t xml:space="preserve">The Team evaluated the current funding processes for Human Service delivery by the City of Tacoma, WA. This evaluation focused specific attention </w:t>
            </w:r>
            <w:r w:rsidRPr="009D3F9F">
              <w:rPr>
                <w:rFonts w:asciiTheme="majorHAnsi" w:hAnsiTheme="majorHAnsi"/>
                <w:noProof/>
                <w:sz w:val="24"/>
              </w:rPr>
              <w:t>to</w:t>
            </w:r>
            <w:r>
              <w:rPr>
                <w:rFonts w:asciiTheme="majorHAnsi" w:hAnsiTheme="majorHAnsi"/>
                <w:sz w:val="24"/>
              </w:rPr>
              <w:t xml:space="preserve"> strategic goal alignment, data collection, metric suitability and consideration of funding only </w:t>
            </w:r>
            <w:r w:rsidRPr="009D3F9F">
              <w:rPr>
                <w:rFonts w:asciiTheme="majorHAnsi" w:hAnsiTheme="majorHAnsi"/>
                <w:noProof/>
                <w:sz w:val="24"/>
              </w:rPr>
              <w:t>evidence</w:t>
            </w:r>
            <w:r w:rsidR="009D3F9F">
              <w:rPr>
                <w:rFonts w:asciiTheme="majorHAnsi" w:hAnsiTheme="majorHAnsi"/>
                <w:noProof/>
                <w:sz w:val="24"/>
              </w:rPr>
              <w:t>-</w:t>
            </w:r>
            <w:r w:rsidRPr="009D3F9F">
              <w:rPr>
                <w:rFonts w:asciiTheme="majorHAnsi" w:hAnsiTheme="majorHAnsi"/>
                <w:noProof/>
                <w:sz w:val="24"/>
              </w:rPr>
              <w:t>based</w:t>
            </w:r>
            <w:r>
              <w:rPr>
                <w:rFonts w:asciiTheme="majorHAnsi" w:hAnsiTheme="majorHAnsi"/>
                <w:sz w:val="24"/>
              </w:rPr>
              <w:t xml:space="preserve"> models for service delivery. </w:t>
            </w:r>
            <w:r w:rsidR="00411D57">
              <w:rPr>
                <w:rFonts w:asciiTheme="majorHAnsi" w:hAnsiTheme="majorHAnsi"/>
                <w:sz w:val="24"/>
              </w:rPr>
              <w:t xml:space="preserve"> </w:t>
            </w:r>
          </w:p>
          <w:p w:rsidR="00845EA2" w:rsidRDefault="00845EA2" w:rsidP="00186EF1">
            <w:pPr>
              <w:rPr>
                <w:rFonts w:asciiTheme="majorHAnsi" w:hAnsiTheme="majorHAnsi"/>
                <w:sz w:val="24"/>
              </w:rPr>
            </w:pPr>
          </w:p>
          <w:p w:rsidR="002C5A6D" w:rsidRPr="002C5A6D" w:rsidRDefault="00411D57" w:rsidP="00411D57">
            <w:pPr>
              <w:rPr>
                <w:rFonts w:asciiTheme="majorHAnsi" w:hAnsiTheme="majorHAnsi"/>
                <w:sz w:val="24"/>
              </w:rPr>
            </w:pPr>
            <w:r>
              <w:rPr>
                <w:rFonts w:asciiTheme="majorHAnsi" w:hAnsiTheme="majorHAnsi"/>
                <w:sz w:val="24"/>
              </w:rPr>
              <w:t xml:space="preserve">Ultimately, the team provided that </w:t>
            </w:r>
            <w:r w:rsidRPr="00411D57">
              <w:rPr>
                <w:rFonts w:asciiTheme="majorHAnsi" w:hAnsiTheme="majorHAnsi"/>
                <w:sz w:val="24"/>
              </w:rPr>
              <w:t xml:space="preserve">funding decisions </w:t>
            </w:r>
            <w:r>
              <w:rPr>
                <w:rFonts w:asciiTheme="majorHAnsi" w:hAnsiTheme="majorHAnsi"/>
                <w:sz w:val="24"/>
              </w:rPr>
              <w:t xml:space="preserve">should better </w:t>
            </w:r>
            <w:r w:rsidRPr="00411D57">
              <w:rPr>
                <w:rFonts w:asciiTheme="majorHAnsi" w:hAnsiTheme="majorHAnsi"/>
                <w:sz w:val="24"/>
              </w:rPr>
              <w:t>align with the community visi</w:t>
            </w:r>
            <w:r>
              <w:rPr>
                <w:rFonts w:asciiTheme="majorHAnsi" w:hAnsiTheme="majorHAnsi"/>
                <w:sz w:val="24"/>
              </w:rPr>
              <w:t xml:space="preserve">on and drive towards measurable outcomes. </w:t>
            </w:r>
            <w:r w:rsidRPr="00411D57">
              <w:rPr>
                <w:rFonts w:asciiTheme="majorHAnsi" w:hAnsiTheme="majorHAnsi"/>
                <w:sz w:val="24"/>
              </w:rPr>
              <w:t>The v</w:t>
            </w:r>
            <w:r>
              <w:rPr>
                <w:rFonts w:asciiTheme="majorHAnsi" w:hAnsiTheme="majorHAnsi"/>
                <w:sz w:val="24"/>
              </w:rPr>
              <w:t xml:space="preserve">ision set out in the city’s strategic plan: Tacoma 2025 – </w:t>
            </w:r>
            <w:r w:rsidRPr="00411D57">
              <w:rPr>
                <w:rFonts w:asciiTheme="majorHAnsi" w:hAnsiTheme="majorHAnsi"/>
                <w:sz w:val="24"/>
              </w:rPr>
              <w:t>and the focus areas that support it – provide many opportun</w:t>
            </w:r>
            <w:r>
              <w:rPr>
                <w:rFonts w:asciiTheme="majorHAnsi" w:hAnsiTheme="majorHAnsi"/>
                <w:sz w:val="24"/>
              </w:rPr>
              <w:t xml:space="preserve">ities where the Human Services </w:t>
            </w:r>
            <w:r w:rsidRPr="00411D57">
              <w:rPr>
                <w:rFonts w:asciiTheme="majorHAnsi" w:hAnsiTheme="majorHAnsi"/>
                <w:sz w:val="24"/>
              </w:rPr>
              <w:t xml:space="preserve">Division can lead. </w:t>
            </w:r>
            <w:r>
              <w:rPr>
                <w:rFonts w:asciiTheme="majorHAnsi" w:hAnsiTheme="majorHAnsi"/>
                <w:sz w:val="24"/>
              </w:rPr>
              <w:t xml:space="preserve">A more data-driven </w:t>
            </w:r>
            <w:r w:rsidRPr="00411D57">
              <w:rPr>
                <w:rFonts w:asciiTheme="majorHAnsi" w:hAnsiTheme="majorHAnsi"/>
                <w:sz w:val="24"/>
              </w:rPr>
              <w:t>approach, led by a division that unwaveringly assumes the role of</w:t>
            </w:r>
            <w:r>
              <w:rPr>
                <w:rFonts w:asciiTheme="majorHAnsi" w:hAnsiTheme="majorHAnsi"/>
                <w:sz w:val="24"/>
              </w:rPr>
              <w:t xml:space="preserve"> backbone support organization for the community -</w:t>
            </w:r>
            <w:r w:rsidRPr="00411D57">
              <w:rPr>
                <w:rFonts w:asciiTheme="majorHAnsi" w:hAnsiTheme="majorHAnsi"/>
                <w:sz w:val="24"/>
              </w:rPr>
              <w:t xml:space="preserve">alongside the introduction </w:t>
            </w:r>
            <w:r w:rsidR="00845EA2" w:rsidRPr="00411D57">
              <w:rPr>
                <w:rFonts w:asciiTheme="majorHAnsi" w:hAnsiTheme="majorHAnsi"/>
                <w:sz w:val="24"/>
              </w:rPr>
              <w:t xml:space="preserve">of </w:t>
            </w:r>
            <w:r w:rsidR="00845EA2">
              <w:rPr>
                <w:rFonts w:asciiTheme="majorHAnsi" w:hAnsiTheme="majorHAnsi"/>
                <w:sz w:val="24"/>
              </w:rPr>
              <w:t>steps</w:t>
            </w:r>
            <w:r>
              <w:rPr>
                <w:rFonts w:asciiTheme="majorHAnsi" w:hAnsiTheme="majorHAnsi"/>
                <w:sz w:val="24"/>
              </w:rPr>
              <w:t xml:space="preserve"> in the application and </w:t>
            </w:r>
            <w:r w:rsidRPr="00411D57">
              <w:rPr>
                <w:rFonts w:asciiTheme="majorHAnsi" w:hAnsiTheme="majorHAnsi"/>
                <w:sz w:val="24"/>
              </w:rPr>
              <w:t>adjudication processes – can ensure that progress is made.</w:t>
            </w:r>
            <w:r>
              <w:rPr>
                <w:rFonts w:asciiTheme="majorHAnsi" w:hAnsiTheme="majorHAnsi"/>
                <w:sz w:val="24"/>
              </w:rPr>
              <w:t xml:space="preserve"> Due to the breadth of the city’s service areas, utilizing only </w:t>
            </w:r>
            <w:r w:rsidRPr="009D3F9F">
              <w:rPr>
                <w:rFonts w:asciiTheme="majorHAnsi" w:hAnsiTheme="majorHAnsi"/>
                <w:noProof/>
                <w:sz w:val="24"/>
              </w:rPr>
              <w:t>evidence</w:t>
            </w:r>
            <w:r w:rsidR="009D3F9F">
              <w:rPr>
                <w:rFonts w:asciiTheme="majorHAnsi" w:hAnsiTheme="majorHAnsi"/>
                <w:noProof/>
                <w:sz w:val="24"/>
              </w:rPr>
              <w:t>-</w:t>
            </w:r>
            <w:r w:rsidRPr="009D3F9F">
              <w:rPr>
                <w:rFonts w:asciiTheme="majorHAnsi" w:hAnsiTheme="majorHAnsi"/>
                <w:noProof/>
                <w:sz w:val="24"/>
              </w:rPr>
              <w:t>based</w:t>
            </w:r>
            <w:r>
              <w:rPr>
                <w:rFonts w:asciiTheme="majorHAnsi" w:hAnsiTheme="majorHAnsi"/>
                <w:sz w:val="24"/>
              </w:rPr>
              <w:t xml:space="preserve"> models may prove too rigorous to implement and in some cases may </w:t>
            </w:r>
            <w:r w:rsidR="00845EA2">
              <w:rPr>
                <w:rFonts w:asciiTheme="majorHAnsi" w:hAnsiTheme="majorHAnsi"/>
                <w:sz w:val="24"/>
              </w:rPr>
              <w:t>stifle</w:t>
            </w:r>
            <w:r>
              <w:rPr>
                <w:rFonts w:asciiTheme="majorHAnsi" w:hAnsiTheme="majorHAnsi"/>
                <w:sz w:val="24"/>
              </w:rPr>
              <w:t xml:space="preserve"> innovation among smaller niche providers.</w:t>
            </w:r>
            <w:r w:rsidRPr="00411D57">
              <w:rPr>
                <w:rFonts w:asciiTheme="majorHAnsi" w:hAnsiTheme="majorHAnsi"/>
                <w:sz w:val="24"/>
              </w:rPr>
              <w:t xml:space="preserve"> </w:t>
            </w:r>
          </w:p>
        </w:tc>
        <w:tc>
          <w:tcPr>
            <w:tcW w:w="2616" w:type="dxa"/>
            <w:vMerge/>
            <w:vAlign w:val="center"/>
          </w:tcPr>
          <w:p w:rsidR="002C5A6D" w:rsidRPr="00186EF1" w:rsidRDefault="002C5A6D" w:rsidP="00186EF1">
            <w:pPr>
              <w:jc w:val="right"/>
              <w:rPr>
                <w:rFonts w:asciiTheme="majorHAnsi" w:hAnsiTheme="majorHAnsi"/>
              </w:rPr>
            </w:pPr>
          </w:p>
        </w:tc>
      </w:tr>
    </w:tbl>
    <w:p w:rsidR="008D130E" w:rsidRDefault="008D130E" w:rsidP="008D130E">
      <w:pPr>
        <w:rPr>
          <w:rFonts w:asciiTheme="majorHAnsi" w:hAnsiTheme="majorHAnsi"/>
        </w:rPr>
      </w:pPr>
    </w:p>
    <w:p w:rsidR="008D130E" w:rsidRPr="00411D57" w:rsidRDefault="008D130E" w:rsidP="008D130E">
      <w:pPr>
        <w:rPr>
          <w:rFonts w:asciiTheme="majorHAnsi" w:hAnsiTheme="majorHAnsi"/>
          <w:sz w:val="24"/>
          <w:szCs w:val="24"/>
        </w:rPr>
      </w:pPr>
      <w:r w:rsidRPr="00411D57">
        <w:rPr>
          <w:rFonts w:asciiTheme="majorHAnsi" w:hAnsiTheme="majorHAnsi"/>
          <w:sz w:val="24"/>
          <w:szCs w:val="24"/>
        </w:rPr>
        <w:t>The recommendations that the</w:t>
      </w:r>
      <w:r>
        <w:rPr>
          <w:rFonts w:asciiTheme="majorHAnsi" w:hAnsiTheme="majorHAnsi"/>
          <w:sz w:val="24"/>
          <w:szCs w:val="24"/>
        </w:rPr>
        <w:t xml:space="preserve"> Team proposed</w:t>
      </w:r>
      <w:r w:rsidRPr="00411D57">
        <w:rPr>
          <w:rFonts w:asciiTheme="majorHAnsi" w:hAnsiTheme="majorHAnsi"/>
          <w:sz w:val="24"/>
          <w:szCs w:val="24"/>
        </w:rPr>
        <w:t xml:space="preserve"> for the City of Tacoma range widely, but they align into two main themes or categories:</w:t>
      </w:r>
    </w:p>
    <w:p w:rsidR="00411D57" w:rsidRDefault="00411D57" w:rsidP="00411D57">
      <w:pPr>
        <w:rPr>
          <w:rFonts w:asciiTheme="majorHAnsi" w:hAnsiTheme="majorHAnsi"/>
          <w:sz w:val="24"/>
          <w:szCs w:val="24"/>
        </w:rPr>
      </w:pPr>
    </w:p>
    <w:p w:rsidR="002C5A6D" w:rsidRPr="002C5A6D" w:rsidRDefault="002C5A6D" w:rsidP="00186EF1">
      <w:pPr>
        <w:rPr>
          <w:rFonts w:asciiTheme="majorHAnsi" w:hAnsiTheme="majorHAnsi"/>
          <w:b/>
          <w:color w:val="1F497D" w:themeColor="text2"/>
          <w:sz w:val="24"/>
        </w:rPr>
      </w:pPr>
      <w:r w:rsidRPr="002C5A6D">
        <w:rPr>
          <w:rFonts w:asciiTheme="majorHAnsi" w:hAnsiTheme="majorHAnsi"/>
          <w:b/>
          <w:color w:val="1F497D" w:themeColor="text2"/>
          <w:sz w:val="24"/>
        </w:rPr>
        <w:t>Finding</w:t>
      </w:r>
      <w:r w:rsidR="00845EA2">
        <w:rPr>
          <w:rFonts w:asciiTheme="majorHAnsi" w:hAnsiTheme="majorHAnsi"/>
          <w:b/>
          <w:color w:val="1F497D" w:themeColor="text2"/>
          <w:sz w:val="24"/>
        </w:rPr>
        <w:t xml:space="preserve"> Area 1</w:t>
      </w:r>
    </w:p>
    <w:p w:rsidR="00186EF1" w:rsidRPr="00985C3E" w:rsidRDefault="00985C3E" w:rsidP="00186EF1">
      <w:pPr>
        <w:rPr>
          <w:rFonts w:asciiTheme="majorHAnsi" w:eastAsia="Calibri" w:hAnsiTheme="majorHAnsi" w:cs="Calibri"/>
          <w:sz w:val="24"/>
          <w:szCs w:val="24"/>
        </w:rPr>
      </w:pPr>
      <w:r w:rsidRPr="00985C3E">
        <w:rPr>
          <w:rFonts w:asciiTheme="majorHAnsi" w:hAnsiTheme="majorHAnsi"/>
          <w:sz w:val="24"/>
          <w:szCs w:val="24"/>
        </w:rPr>
        <w:t xml:space="preserve">The funding framework, which includes considerations around the importance of </w:t>
      </w:r>
      <w:r w:rsidR="008D130E">
        <w:rPr>
          <w:rFonts w:asciiTheme="majorHAnsi" w:hAnsiTheme="majorHAnsi"/>
          <w:sz w:val="24"/>
          <w:szCs w:val="24"/>
        </w:rPr>
        <w:t xml:space="preserve">using the newly minted </w:t>
      </w:r>
      <w:r w:rsidRPr="00985C3E">
        <w:rPr>
          <w:rFonts w:asciiTheme="majorHAnsi" w:hAnsiTheme="majorHAnsi"/>
          <w:sz w:val="24"/>
          <w:szCs w:val="24"/>
        </w:rPr>
        <w:t>strategic vision</w:t>
      </w:r>
      <w:r w:rsidR="008D130E">
        <w:rPr>
          <w:rFonts w:asciiTheme="majorHAnsi" w:hAnsiTheme="majorHAnsi"/>
          <w:sz w:val="24"/>
          <w:szCs w:val="24"/>
        </w:rPr>
        <w:t>: Tacoma 2025</w:t>
      </w:r>
      <w:r w:rsidRPr="00985C3E">
        <w:rPr>
          <w:rFonts w:asciiTheme="majorHAnsi" w:hAnsiTheme="majorHAnsi"/>
          <w:sz w:val="24"/>
          <w:szCs w:val="24"/>
        </w:rPr>
        <w:t xml:space="preserve">, </w:t>
      </w:r>
      <w:r w:rsidRPr="009D3F9F">
        <w:rPr>
          <w:rFonts w:asciiTheme="majorHAnsi" w:hAnsiTheme="majorHAnsi"/>
          <w:noProof/>
          <w:sz w:val="24"/>
          <w:szCs w:val="24"/>
        </w:rPr>
        <w:t>a strong</w:t>
      </w:r>
      <w:r w:rsidRPr="00985C3E">
        <w:rPr>
          <w:rFonts w:asciiTheme="majorHAnsi" w:hAnsiTheme="majorHAnsi"/>
          <w:sz w:val="24"/>
          <w:szCs w:val="24"/>
        </w:rPr>
        <w:t xml:space="preserve"> coordinating role for the City of Tacoma, data-driven decision-making, accurate identification of community needs, and evidence-based programs</w:t>
      </w:r>
      <w:r>
        <w:rPr>
          <w:rFonts w:asciiTheme="majorHAnsi" w:hAnsiTheme="majorHAnsi"/>
          <w:sz w:val="24"/>
          <w:szCs w:val="24"/>
        </w:rPr>
        <w:t>.</w:t>
      </w:r>
      <w:r>
        <w:rPr>
          <w:rFonts w:asciiTheme="majorHAnsi" w:eastAsia="Calibri" w:hAnsiTheme="majorHAnsi" w:cs="Calibri"/>
          <w:sz w:val="24"/>
          <w:szCs w:val="24"/>
        </w:rPr>
        <w:t xml:space="preserve"> </w:t>
      </w:r>
    </w:p>
    <w:p w:rsidR="00985C3E" w:rsidRDefault="008D130E" w:rsidP="00985C3E">
      <w:pPr>
        <w:rPr>
          <w:rFonts w:asciiTheme="majorHAnsi" w:hAnsiTheme="majorHAnsi"/>
          <w:b/>
          <w:color w:val="1F497D" w:themeColor="text2"/>
          <w:sz w:val="24"/>
        </w:rPr>
      </w:pPr>
      <w:r>
        <w:rPr>
          <w:rFonts w:asciiTheme="majorHAnsi" w:hAnsiTheme="majorHAnsi"/>
          <w:b/>
          <w:color w:val="1F497D" w:themeColor="text2"/>
          <w:sz w:val="24"/>
        </w:rPr>
        <w:br/>
      </w:r>
      <w:r w:rsidR="002C5A6D" w:rsidRPr="002C5A6D">
        <w:rPr>
          <w:rFonts w:asciiTheme="majorHAnsi" w:hAnsiTheme="majorHAnsi"/>
          <w:b/>
          <w:color w:val="1F497D" w:themeColor="text2"/>
          <w:sz w:val="24"/>
        </w:rPr>
        <w:t>Why</w:t>
      </w:r>
      <w:r w:rsidR="00186EF1" w:rsidRPr="002C5A6D">
        <w:rPr>
          <w:rFonts w:asciiTheme="majorHAnsi" w:hAnsiTheme="majorHAnsi"/>
          <w:b/>
          <w:color w:val="1F497D" w:themeColor="text2"/>
          <w:sz w:val="24"/>
        </w:rPr>
        <w:t xml:space="preserve"> this </w:t>
      </w:r>
      <w:r w:rsidR="002C5A6D" w:rsidRPr="002C5A6D">
        <w:rPr>
          <w:rFonts w:asciiTheme="majorHAnsi" w:hAnsiTheme="majorHAnsi"/>
          <w:b/>
          <w:color w:val="1F497D" w:themeColor="text2"/>
          <w:sz w:val="24"/>
        </w:rPr>
        <w:t>may apply to other jurisdictions</w:t>
      </w:r>
    </w:p>
    <w:p w:rsidR="00186EF1" w:rsidRDefault="00985C3E" w:rsidP="00985C3E">
      <w:pPr>
        <w:rPr>
          <w:rFonts w:asciiTheme="majorHAnsi" w:hAnsiTheme="majorHAnsi"/>
          <w:sz w:val="24"/>
        </w:rPr>
      </w:pPr>
      <w:r w:rsidRPr="00985C3E">
        <w:rPr>
          <w:rFonts w:asciiTheme="majorHAnsi" w:hAnsiTheme="majorHAnsi"/>
          <w:sz w:val="24"/>
        </w:rPr>
        <w:t xml:space="preserve">With </w:t>
      </w:r>
      <w:r w:rsidRPr="009D3F9F">
        <w:rPr>
          <w:rFonts w:asciiTheme="majorHAnsi" w:hAnsiTheme="majorHAnsi"/>
          <w:noProof/>
          <w:sz w:val="24"/>
        </w:rPr>
        <w:t>a s</w:t>
      </w:r>
      <w:r w:rsidR="009D3F9F">
        <w:rPr>
          <w:rFonts w:asciiTheme="majorHAnsi" w:hAnsiTheme="majorHAnsi"/>
          <w:noProof/>
          <w:sz w:val="24"/>
        </w:rPr>
        <w:t>harp</w:t>
      </w:r>
      <w:r w:rsidRPr="00985C3E">
        <w:rPr>
          <w:rFonts w:asciiTheme="majorHAnsi" w:hAnsiTheme="majorHAnsi"/>
          <w:sz w:val="24"/>
        </w:rPr>
        <w:t xml:space="preserve">, clear vision in hand, the City of Tacoma has a beacon that it may use to guide all of the other plans and processes nested beneath it. </w:t>
      </w:r>
      <w:r>
        <w:rPr>
          <w:rFonts w:asciiTheme="majorHAnsi" w:hAnsiTheme="majorHAnsi"/>
          <w:sz w:val="24"/>
        </w:rPr>
        <w:t xml:space="preserve">Don’t let strategic plans just sit on the shelf, use them in </w:t>
      </w:r>
      <w:r w:rsidRPr="009D3F9F">
        <w:rPr>
          <w:rFonts w:asciiTheme="majorHAnsi" w:hAnsiTheme="majorHAnsi"/>
          <w:noProof/>
          <w:sz w:val="24"/>
        </w:rPr>
        <w:t>decision</w:t>
      </w:r>
      <w:r w:rsidR="009D3F9F">
        <w:rPr>
          <w:rFonts w:asciiTheme="majorHAnsi" w:hAnsiTheme="majorHAnsi"/>
          <w:noProof/>
          <w:sz w:val="24"/>
        </w:rPr>
        <w:t>-</w:t>
      </w:r>
      <w:r w:rsidRPr="009D3F9F">
        <w:rPr>
          <w:rFonts w:asciiTheme="majorHAnsi" w:hAnsiTheme="majorHAnsi"/>
          <w:noProof/>
          <w:sz w:val="24"/>
        </w:rPr>
        <w:t>making</w:t>
      </w:r>
      <w:r>
        <w:rPr>
          <w:rFonts w:asciiTheme="majorHAnsi" w:hAnsiTheme="majorHAnsi"/>
          <w:sz w:val="24"/>
        </w:rPr>
        <w:t xml:space="preserve"> processes, garnering support from the community derived goals. Focus investments on programs that pursue those same </w:t>
      </w:r>
      <w:r w:rsidRPr="009D3F9F">
        <w:rPr>
          <w:rFonts w:asciiTheme="majorHAnsi" w:hAnsiTheme="majorHAnsi"/>
          <w:noProof/>
          <w:sz w:val="24"/>
        </w:rPr>
        <w:t>goals</w:t>
      </w:r>
      <w:r>
        <w:rPr>
          <w:rFonts w:asciiTheme="majorHAnsi" w:hAnsiTheme="majorHAnsi"/>
          <w:sz w:val="24"/>
        </w:rPr>
        <w:t>. Of course</w:t>
      </w:r>
      <w:r w:rsidR="008D130E">
        <w:rPr>
          <w:rFonts w:asciiTheme="majorHAnsi" w:hAnsiTheme="majorHAnsi"/>
          <w:sz w:val="24"/>
        </w:rPr>
        <w:t>,</w:t>
      </w:r>
      <w:r>
        <w:rPr>
          <w:rFonts w:asciiTheme="majorHAnsi" w:hAnsiTheme="majorHAnsi"/>
          <w:sz w:val="24"/>
        </w:rPr>
        <w:t xml:space="preserve"> broad, far reaching goals need specificity and </w:t>
      </w:r>
      <w:r w:rsidR="00845EA2">
        <w:rPr>
          <w:rFonts w:asciiTheme="majorHAnsi" w:hAnsiTheme="majorHAnsi"/>
          <w:sz w:val="24"/>
        </w:rPr>
        <w:t>continual</w:t>
      </w:r>
      <w:r>
        <w:rPr>
          <w:rFonts w:asciiTheme="majorHAnsi" w:hAnsiTheme="majorHAnsi"/>
          <w:sz w:val="24"/>
        </w:rPr>
        <w:t xml:space="preserve"> reengagement of stakeholders.</w:t>
      </w:r>
      <w:r w:rsidR="008D130E">
        <w:rPr>
          <w:rFonts w:asciiTheme="majorHAnsi" w:hAnsiTheme="majorHAnsi"/>
          <w:sz w:val="24"/>
        </w:rPr>
        <w:t xml:space="preserve"> For this </w:t>
      </w:r>
      <w:r w:rsidR="008D130E" w:rsidRPr="009D3F9F">
        <w:rPr>
          <w:rFonts w:asciiTheme="majorHAnsi" w:hAnsiTheme="majorHAnsi"/>
          <w:noProof/>
          <w:sz w:val="24"/>
        </w:rPr>
        <w:t>purpose</w:t>
      </w:r>
      <w:r w:rsidR="009D3F9F">
        <w:rPr>
          <w:rFonts w:asciiTheme="majorHAnsi" w:hAnsiTheme="majorHAnsi"/>
          <w:noProof/>
          <w:sz w:val="24"/>
        </w:rPr>
        <w:t>,</w:t>
      </w:r>
      <w:r w:rsidR="008D130E">
        <w:rPr>
          <w:rFonts w:asciiTheme="majorHAnsi" w:hAnsiTheme="majorHAnsi"/>
          <w:sz w:val="24"/>
        </w:rPr>
        <w:t xml:space="preserve"> a </w:t>
      </w:r>
      <w:r w:rsidR="008D130E" w:rsidRPr="009D3F9F">
        <w:rPr>
          <w:rFonts w:asciiTheme="majorHAnsi" w:hAnsiTheme="majorHAnsi"/>
          <w:noProof/>
          <w:sz w:val="24"/>
        </w:rPr>
        <w:t>data</w:t>
      </w:r>
      <w:r w:rsidR="009D3F9F">
        <w:rPr>
          <w:rFonts w:asciiTheme="majorHAnsi" w:hAnsiTheme="majorHAnsi"/>
          <w:noProof/>
          <w:sz w:val="24"/>
        </w:rPr>
        <w:t>-</w:t>
      </w:r>
      <w:r w:rsidR="008D130E" w:rsidRPr="009D3F9F">
        <w:rPr>
          <w:rFonts w:asciiTheme="majorHAnsi" w:hAnsiTheme="majorHAnsi"/>
          <w:noProof/>
          <w:sz w:val="24"/>
        </w:rPr>
        <w:t>driven</w:t>
      </w:r>
      <w:r w:rsidR="008D130E">
        <w:rPr>
          <w:rFonts w:asciiTheme="majorHAnsi" w:hAnsiTheme="majorHAnsi"/>
          <w:sz w:val="24"/>
        </w:rPr>
        <w:t xml:space="preserve"> approach should be utilized. It is not likely that the human service community will be able to centralize its data alone. As a public good, the City of </w:t>
      </w:r>
      <w:r w:rsidR="008D130E">
        <w:rPr>
          <w:rFonts w:asciiTheme="majorHAnsi" w:hAnsiTheme="majorHAnsi"/>
          <w:sz w:val="24"/>
        </w:rPr>
        <w:lastRenderedPageBreak/>
        <w:t xml:space="preserve">Tacoma should continue </w:t>
      </w:r>
      <w:r w:rsidR="00845EA2">
        <w:rPr>
          <w:rFonts w:asciiTheme="majorHAnsi" w:hAnsiTheme="majorHAnsi"/>
          <w:sz w:val="24"/>
        </w:rPr>
        <w:t>its</w:t>
      </w:r>
      <w:r w:rsidR="008D130E">
        <w:rPr>
          <w:rFonts w:asciiTheme="majorHAnsi" w:hAnsiTheme="majorHAnsi"/>
          <w:sz w:val="24"/>
        </w:rPr>
        <w:t xml:space="preserve"> efforts in creating an open data platform that the community can use for more informed decision making not only for </w:t>
      </w:r>
      <w:r w:rsidR="008D130E" w:rsidRPr="009D3F9F">
        <w:rPr>
          <w:rFonts w:asciiTheme="majorHAnsi" w:hAnsiTheme="majorHAnsi"/>
          <w:noProof/>
          <w:sz w:val="24"/>
        </w:rPr>
        <w:t>staff</w:t>
      </w:r>
      <w:r w:rsidR="008D130E">
        <w:rPr>
          <w:rFonts w:asciiTheme="majorHAnsi" w:hAnsiTheme="majorHAnsi"/>
          <w:sz w:val="24"/>
        </w:rPr>
        <w:t xml:space="preserve"> but for citizens and organizations alike.</w:t>
      </w:r>
    </w:p>
    <w:p w:rsidR="00985C3E" w:rsidRDefault="00985C3E" w:rsidP="00985C3E">
      <w:pPr>
        <w:rPr>
          <w:rFonts w:asciiTheme="majorHAnsi" w:hAnsiTheme="majorHAnsi"/>
          <w:sz w:val="24"/>
        </w:rPr>
      </w:pPr>
    </w:p>
    <w:p w:rsidR="00985C3E" w:rsidRDefault="00985C3E" w:rsidP="00985C3E">
      <w:pPr>
        <w:rPr>
          <w:rFonts w:asciiTheme="majorHAnsi" w:hAnsiTheme="majorHAnsi"/>
          <w:b/>
          <w:color w:val="1F497D" w:themeColor="text2"/>
          <w:sz w:val="24"/>
        </w:rPr>
      </w:pPr>
      <w:r w:rsidRPr="002C5A6D">
        <w:rPr>
          <w:rFonts w:asciiTheme="majorHAnsi" w:hAnsiTheme="majorHAnsi"/>
          <w:b/>
          <w:color w:val="1F497D" w:themeColor="text2"/>
          <w:sz w:val="24"/>
        </w:rPr>
        <w:t>Finding</w:t>
      </w:r>
      <w:r w:rsidR="00845EA2">
        <w:rPr>
          <w:rFonts w:asciiTheme="majorHAnsi" w:hAnsiTheme="majorHAnsi"/>
          <w:b/>
          <w:color w:val="1F497D" w:themeColor="text2"/>
          <w:sz w:val="24"/>
        </w:rPr>
        <w:t xml:space="preserve"> Area 2</w:t>
      </w:r>
    </w:p>
    <w:p w:rsidR="008D130E" w:rsidRPr="002C5A6D" w:rsidRDefault="008D130E" w:rsidP="00985C3E">
      <w:pPr>
        <w:rPr>
          <w:rFonts w:asciiTheme="majorHAnsi" w:hAnsiTheme="majorHAnsi"/>
          <w:b/>
          <w:color w:val="1F497D" w:themeColor="text2"/>
          <w:sz w:val="24"/>
        </w:rPr>
      </w:pPr>
      <w:r>
        <w:rPr>
          <w:rFonts w:asciiTheme="majorHAnsi" w:hAnsiTheme="majorHAnsi"/>
          <w:sz w:val="24"/>
          <w:szCs w:val="24"/>
        </w:rPr>
        <w:t>There are process improvements to the</w:t>
      </w:r>
      <w:r w:rsidRPr="00411D57">
        <w:rPr>
          <w:rFonts w:asciiTheme="majorHAnsi" w:hAnsiTheme="majorHAnsi"/>
          <w:sz w:val="24"/>
          <w:szCs w:val="24"/>
        </w:rPr>
        <w:t xml:space="preserve"> funding process, which considers dimensions of the City’s approach to administering different funds, the competitive process, the level of technical assistance available to service providers, and the role of human services staff and the Human Services Commission</w:t>
      </w:r>
    </w:p>
    <w:p w:rsidR="00985C3E" w:rsidRDefault="00985C3E" w:rsidP="00985C3E">
      <w:pPr>
        <w:rPr>
          <w:rFonts w:asciiTheme="majorHAnsi" w:hAnsiTheme="majorHAnsi"/>
          <w:b/>
          <w:color w:val="1F497D" w:themeColor="text2"/>
          <w:sz w:val="24"/>
        </w:rPr>
      </w:pPr>
    </w:p>
    <w:p w:rsidR="008D130E" w:rsidRDefault="008D130E" w:rsidP="00985C3E">
      <w:pPr>
        <w:rPr>
          <w:rFonts w:asciiTheme="majorHAnsi" w:hAnsiTheme="majorHAnsi"/>
          <w:b/>
          <w:color w:val="1F497D" w:themeColor="text2"/>
          <w:sz w:val="24"/>
        </w:rPr>
      </w:pPr>
      <w:r w:rsidRPr="002C5A6D">
        <w:rPr>
          <w:rFonts w:asciiTheme="majorHAnsi" w:hAnsiTheme="majorHAnsi"/>
          <w:b/>
          <w:color w:val="1F497D" w:themeColor="text2"/>
          <w:sz w:val="24"/>
        </w:rPr>
        <w:t>Why this may apply to other jurisdictions</w:t>
      </w:r>
    </w:p>
    <w:p w:rsidR="008D130E" w:rsidRPr="00985C3E" w:rsidRDefault="008D130E" w:rsidP="00985C3E">
      <w:pPr>
        <w:rPr>
          <w:rFonts w:asciiTheme="majorHAnsi" w:hAnsiTheme="majorHAnsi"/>
          <w:b/>
          <w:color w:val="1F497D" w:themeColor="text2"/>
          <w:sz w:val="24"/>
        </w:rPr>
      </w:pPr>
      <w:r>
        <w:rPr>
          <w:rFonts w:asciiTheme="majorHAnsi" w:hAnsiTheme="majorHAnsi"/>
          <w:sz w:val="24"/>
          <w:szCs w:val="24"/>
        </w:rPr>
        <w:t xml:space="preserve">It is important to continually evaluate what is working and what is not. Changes in the volunteer </w:t>
      </w:r>
      <w:r w:rsidRPr="009D3F9F">
        <w:rPr>
          <w:rFonts w:asciiTheme="majorHAnsi" w:hAnsiTheme="majorHAnsi"/>
          <w:noProof/>
          <w:sz w:val="24"/>
          <w:szCs w:val="24"/>
        </w:rPr>
        <w:t>structure</w:t>
      </w:r>
      <w:r w:rsidR="009D3F9F">
        <w:rPr>
          <w:rFonts w:asciiTheme="majorHAnsi" w:hAnsiTheme="majorHAnsi"/>
          <w:noProof/>
          <w:sz w:val="24"/>
          <w:szCs w:val="24"/>
        </w:rPr>
        <w:t>, as well as new requirements for funded organizations,</w:t>
      </w:r>
      <w:r>
        <w:rPr>
          <w:rFonts w:asciiTheme="majorHAnsi" w:hAnsiTheme="majorHAnsi"/>
          <w:sz w:val="24"/>
          <w:szCs w:val="24"/>
        </w:rPr>
        <w:t xml:space="preserve"> led to a situation where the application and award process became burdensome and confusing for many. As a key finding, transparency in both the goal setting and the award process becomes a keystone in finding efficiencies. As an adjunct, the sheer volume of applications necessitates that some programs be moved out </w:t>
      </w:r>
      <w:r w:rsidR="00845EA2">
        <w:rPr>
          <w:rFonts w:asciiTheme="majorHAnsi" w:hAnsiTheme="majorHAnsi"/>
          <w:sz w:val="24"/>
          <w:szCs w:val="24"/>
        </w:rPr>
        <w:t>of multiple</w:t>
      </w:r>
      <w:r>
        <w:rPr>
          <w:rFonts w:asciiTheme="majorHAnsi" w:hAnsiTheme="majorHAnsi"/>
          <w:sz w:val="24"/>
          <w:szCs w:val="24"/>
        </w:rPr>
        <w:t xml:space="preserve"> shorter duration competitive processes, particularly if they are </w:t>
      </w:r>
      <w:r w:rsidR="009D3F9F">
        <w:rPr>
          <w:rFonts w:asciiTheme="majorHAnsi" w:hAnsiTheme="majorHAnsi"/>
          <w:noProof/>
          <w:sz w:val="24"/>
          <w:szCs w:val="24"/>
        </w:rPr>
        <w:t>genuin</w:t>
      </w:r>
      <w:r w:rsidRPr="009D3F9F">
        <w:rPr>
          <w:rFonts w:asciiTheme="majorHAnsi" w:hAnsiTheme="majorHAnsi"/>
          <w:noProof/>
          <w:sz w:val="24"/>
          <w:szCs w:val="24"/>
        </w:rPr>
        <w:t>e</w:t>
      </w:r>
      <w:r>
        <w:rPr>
          <w:rFonts w:asciiTheme="majorHAnsi" w:hAnsiTheme="majorHAnsi"/>
          <w:sz w:val="24"/>
          <w:szCs w:val="24"/>
        </w:rPr>
        <w:t xml:space="preserve"> </w:t>
      </w:r>
      <w:r w:rsidRPr="009D3F9F">
        <w:rPr>
          <w:rFonts w:asciiTheme="majorHAnsi" w:hAnsiTheme="majorHAnsi"/>
          <w:noProof/>
          <w:sz w:val="24"/>
          <w:szCs w:val="24"/>
        </w:rPr>
        <w:t>evidence</w:t>
      </w:r>
      <w:r w:rsidR="009D3F9F">
        <w:rPr>
          <w:rFonts w:asciiTheme="majorHAnsi" w:hAnsiTheme="majorHAnsi"/>
          <w:noProof/>
          <w:sz w:val="24"/>
          <w:szCs w:val="24"/>
        </w:rPr>
        <w:t>-</w:t>
      </w:r>
      <w:r w:rsidRPr="009D3F9F">
        <w:rPr>
          <w:rFonts w:asciiTheme="majorHAnsi" w:hAnsiTheme="majorHAnsi"/>
          <w:noProof/>
          <w:sz w:val="24"/>
          <w:szCs w:val="24"/>
        </w:rPr>
        <w:t>based</w:t>
      </w:r>
      <w:r>
        <w:rPr>
          <w:rFonts w:asciiTheme="majorHAnsi" w:hAnsiTheme="majorHAnsi"/>
          <w:sz w:val="24"/>
          <w:szCs w:val="24"/>
        </w:rPr>
        <w:t xml:space="preserve"> models, and moved to </w:t>
      </w:r>
      <w:r w:rsidRPr="009D3F9F">
        <w:rPr>
          <w:rFonts w:asciiTheme="majorHAnsi" w:hAnsiTheme="majorHAnsi"/>
          <w:noProof/>
          <w:sz w:val="24"/>
          <w:szCs w:val="24"/>
        </w:rPr>
        <w:t>longer</w:t>
      </w:r>
      <w:r w:rsidR="009D3F9F">
        <w:rPr>
          <w:rFonts w:asciiTheme="majorHAnsi" w:hAnsiTheme="majorHAnsi"/>
          <w:noProof/>
          <w:sz w:val="24"/>
          <w:szCs w:val="24"/>
        </w:rPr>
        <w:t>-</w:t>
      </w:r>
      <w:r w:rsidRPr="009D3F9F">
        <w:rPr>
          <w:rFonts w:asciiTheme="majorHAnsi" w:hAnsiTheme="majorHAnsi"/>
          <w:noProof/>
          <w:sz w:val="24"/>
          <w:szCs w:val="24"/>
        </w:rPr>
        <w:t>term</w:t>
      </w:r>
      <w:r>
        <w:rPr>
          <w:rFonts w:asciiTheme="majorHAnsi" w:hAnsiTheme="majorHAnsi"/>
          <w:sz w:val="24"/>
          <w:szCs w:val="24"/>
        </w:rPr>
        <w:t xml:space="preserve"> continuing contracts. The application process itself may benefit from a smaller RFI process or issuances of letters of intent. </w:t>
      </w:r>
      <w:r w:rsidR="00845EA2">
        <w:rPr>
          <w:rFonts w:asciiTheme="majorHAnsi" w:hAnsiTheme="majorHAnsi"/>
          <w:sz w:val="24"/>
          <w:szCs w:val="24"/>
        </w:rPr>
        <w:t>Additionally</w:t>
      </w:r>
      <w:r>
        <w:rPr>
          <w:rFonts w:asciiTheme="majorHAnsi" w:hAnsiTheme="majorHAnsi"/>
          <w:sz w:val="24"/>
          <w:szCs w:val="24"/>
        </w:rPr>
        <w:t>, increased technical assistance for partner organizations,</w:t>
      </w:r>
      <w:r w:rsidR="009D3F9F">
        <w:rPr>
          <w:rFonts w:asciiTheme="majorHAnsi" w:hAnsiTheme="majorHAnsi"/>
          <w:sz w:val="24"/>
          <w:szCs w:val="24"/>
        </w:rPr>
        <w:t xml:space="preserve"> the</w:t>
      </w:r>
      <w:r>
        <w:rPr>
          <w:rFonts w:asciiTheme="majorHAnsi" w:hAnsiTheme="majorHAnsi"/>
          <w:sz w:val="24"/>
          <w:szCs w:val="24"/>
        </w:rPr>
        <w:t xml:space="preserve"> </w:t>
      </w:r>
      <w:r w:rsidRPr="009D3F9F">
        <w:rPr>
          <w:rFonts w:asciiTheme="majorHAnsi" w:hAnsiTheme="majorHAnsi"/>
          <w:noProof/>
          <w:sz w:val="24"/>
          <w:szCs w:val="24"/>
        </w:rPr>
        <w:t>continuance</w:t>
      </w:r>
      <w:r>
        <w:rPr>
          <w:rFonts w:asciiTheme="majorHAnsi" w:hAnsiTheme="majorHAnsi"/>
          <w:sz w:val="24"/>
          <w:szCs w:val="24"/>
        </w:rPr>
        <w:t xml:space="preserve"> of funds that enhance stabilization, increase capacity as well as promote innovation are all funding programs that not only should </w:t>
      </w:r>
      <w:r w:rsidRPr="009D3F9F">
        <w:rPr>
          <w:rFonts w:asciiTheme="majorHAnsi" w:hAnsiTheme="majorHAnsi"/>
          <w:noProof/>
          <w:sz w:val="24"/>
          <w:szCs w:val="24"/>
        </w:rPr>
        <w:t>continue</w:t>
      </w:r>
      <w:r>
        <w:rPr>
          <w:rFonts w:asciiTheme="majorHAnsi" w:hAnsiTheme="majorHAnsi"/>
          <w:sz w:val="24"/>
          <w:szCs w:val="24"/>
        </w:rPr>
        <w:t xml:space="preserve"> but be expanded upon. Finally, </w:t>
      </w:r>
      <w:proofErr w:type="gramStart"/>
      <w:r>
        <w:rPr>
          <w:rFonts w:asciiTheme="majorHAnsi" w:hAnsiTheme="majorHAnsi"/>
          <w:sz w:val="24"/>
          <w:szCs w:val="24"/>
        </w:rPr>
        <w:t>It</w:t>
      </w:r>
      <w:proofErr w:type="gramEnd"/>
      <w:r>
        <w:rPr>
          <w:rFonts w:asciiTheme="majorHAnsi" w:hAnsiTheme="majorHAnsi"/>
          <w:sz w:val="24"/>
          <w:szCs w:val="24"/>
        </w:rPr>
        <w:t xml:space="preserve"> is sometimes difficult to carve out dollars that don’t directly support programs, but significant investment should be made for resources that support data collection and backbone supporting activities for the human services community.</w:t>
      </w:r>
    </w:p>
    <w:p w:rsidR="009C4B98" w:rsidRDefault="009C4B98" w:rsidP="009C4B98">
      <w:pPr>
        <w:pStyle w:val="Heading2"/>
      </w:pPr>
    </w:p>
    <w:p w:rsidR="00186EF1" w:rsidRDefault="00845EA2" w:rsidP="009C4B98">
      <w:pPr>
        <w:pStyle w:val="Heading2"/>
      </w:pPr>
      <w:r>
        <w:t xml:space="preserve">For more </w:t>
      </w:r>
      <w:r w:rsidRPr="009D3F9F">
        <w:rPr>
          <w:noProof/>
        </w:rPr>
        <w:t>detail</w:t>
      </w:r>
      <w:r>
        <w:t xml:space="preserve"> or a copy of </w:t>
      </w:r>
      <w:r w:rsidR="009C4B98">
        <w:t xml:space="preserve">the </w:t>
      </w:r>
      <w:r>
        <w:t xml:space="preserve">Tacoma Team’s </w:t>
      </w:r>
      <w:r w:rsidRPr="009D3F9F">
        <w:rPr>
          <w:noProof/>
        </w:rPr>
        <w:t>report</w:t>
      </w:r>
      <w:r w:rsidR="009D3F9F">
        <w:rPr>
          <w:noProof/>
        </w:rPr>
        <w:t>,</w:t>
      </w:r>
      <w:r w:rsidR="009C4B98">
        <w:t xml:space="preserve"> please email Nedra James at njames@icma.org</w:t>
      </w:r>
    </w:p>
    <w:p w:rsidR="002C5A6D" w:rsidRPr="00186EF1" w:rsidRDefault="002C5A6D" w:rsidP="00186EF1">
      <w:pPr>
        <w:spacing w:before="120" w:after="120"/>
        <w:rPr>
          <w:rFonts w:asciiTheme="majorHAnsi" w:hAnsiTheme="majorHAnsi"/>
          <w:sz w:val="24"/>
        </w:rPr>
      </w:pPr>
    </w:p>
    <w:p w:rsidR="002C5A6D" w:rsidRPr="002C5A6D" w:rsidRDefault="002C5A6D" w:rsidP="002C5A6D">
      <w:pPr>
        <w:rPr>
          <w:rFonts w:asciiTheme="majorHAnsi" w:hAnsiTheme="majorHAnsi"/>
          <w:b/>
          <w:color w:val="1F497D" w:themeColor="text2"/>
          <w:sz w:val="24"/>
        </w:rPr>
      </w:pPr>
      <w:r>
        <w:rPr>
          <w:rFonts w:asciiTheme="majorHAnsi" w:hAnsiTheme="majorHAnsi"/>
          <w:b/>
          <w:color w:val="1F497D" w:themeColor="text2"/>
          <w:sz w:val="24"/>
        </w:rPr>
        <w:t xml:space="preserve">Team Members </w:t>
      </w:r>
    </w:p>
    <w:p w:rsidR="00985C3E" w:rsidRDefault="00836048" w:rsidP="00985C3E">
      <w:pPr>
        <w:spacing w:before="120" w:after="120"/>
        <w:rPr>
          <w:rFonts w:asciiTheme="majorHAnsi" w:hAnsiTheme="majorHAnsi"/>
          <w:sz w:val="24"/>
        </w:rPr>
      </w:pPr>
      <w:r w:rsidRPr="00836048">
        <w:rPr>
          <w:rFonts w:asciiTheme="majorHAnsi" w:hAnsiTheme="majorHAnsi"/>
          <w:sz w:val="24"/>
        </w:rPr>
        <w:t xml:space="preserve">Alex </w:t>
      </w:r>
      <w:r w:rsidRPr="009C4B98">
        <w:rPr>
          <w:rFonts w:asciiTheme="majorHAnsi" w:hAnsiTheme="majorHAnsi"/>
          <w:noProof/>
          <w:sz w:val="24"/>
        </w:rPr>
        <w:t>Lopez:</w:t>
      </w:r>
      <w:r w:rsidR="008D130E">
        <w:rPr>
          <w:rFonts w:asciiTheme="majorHAnsi" w:hAnsiTheme="majorHAnsi"/>
          <w:sz w:val="24"/>
        </w:rPr>
        <w:t xml:space="preserve"> City of </w:t>
      </w:r>
      <w:r w:rsidRPr="00836048">
        <w:rPr>
          <w:rFonts w:asciiTheme="majorHAnsi" w:hAnsiTheme="majorHAnsi"/>
          <w:sz w:val="24"/>
        </w:rPr>
        <w:t xml:space="preserve">San Antonio, Texas </w:t>
      </w:r>
    </w:p>
    <w:p w:rsidR="00985C3E" w:rsidRDefault="00836048" w:rsidP="00985C3E">
      <w:pPr>
        <w:spacing w:before="120" w:after="120"/>
        <w:rPr>
          <w:rFonts w:asciiTheme="majorHAnsi" w:hAnsiTheme="majorHAnsi"/>
          <w:sz w:val="24"/>
        </w:rPr>
      </w:pPr>
      <w:r w:rsidRPr="00836048">
        <w:rPr>
          <w:rFonts w:asciiTheme="majorHAnsi" w:hAnsiTheme="majorHAnsi"/>
          <w:sz w:val="24"/>
        </w:rPr>
        <w:t>Jenifer Henry-</w:t>
      </w:r>
      <w:r w:rsidR="00845EA2" w:rsidRPr="00836048">
        <w:rPr>
          <w:rFonts w:asciiTheme="majorHAnsi" w:hAnsiTheme="majorHAnsi"/>
          <w:sz w:val="24"/>
        </w:rPr>
        <w:t>Jones:</w:t>
      </w:r>
      <w:r w:rsidRPr="00836048">
        <w:rPr>
          <w:rFonts w:asciiTheme="majorHAnsi" w:hAnsiTheme="majorHAnsi"/>
          <w:sz w:val="24"/>
        </w:rPr>
        <w:t xml:space="preserve"> Fairfax</w:t>
      </w:r>
      <w:r w:rsidR="009C4B98">
        <w:rPr>
          <w:rFonts w:asciiTheme="majorHAnsi" w:hAnsiTheme="majorHAnsi"/>
          <w:sz w:val="24"/>
        </w:rPr>
        <w:t xml:space="preserve"> County</w:t>
      </w:r>
      <w:r w:rsidRPr="00836048">
        <w:rPr>
          <w:rFonts w:asciiTheme="majorHAnsi" w:hAnsiTheme="majorHAnsi"/>
          <w:sz w:val="24"/>
        </w:rPr>
        <w:t xml:space="preserve">, Virginia </w:t>
      </w:r>
    </w:p>
    <w:p w:rsidR="00836048" w:rsidRPr="00836048" w:rsidRDefault="00836048" w:rsidP="00985C3E">
      <w:pPr>
        <w:spacing w:before="120" w:after="120"/>
        <w:rPr>
          <w:rFonts w:asciiTheme="majorHAnsi" w:hAnsiTheme="majorHAnsi"/>
          <w:sz w:val="24"/>
        </w:rPr>
      </w:pPr>
      <w:r w:rsidRPr="00836048">
        <w:rPr>
          <w:rFonts w:asciiTheme="majorHAnsi" w:hAnsiTheme="majorHAnsi"/>
          <w:sz w:val="24"/>
        </w:rPr>
        <w:t xml:space="preserve">JP </w:t>
      </w:r>
      <w:r w:rsidR="00845EA2" w:rsidRPr="00836048">
        <w:rPr>
          <w:rFonts w:asciiTheme="majorHAnsi" w:hAnsiTheme="majorHAnsi"/>
          <w:sz w:val="24"/>
        </w:rPr>
        <w:t>Murphy:</w:t>
      </w:r>
      <w:r w:rsidR="008D130E">
        <w:rPr>
          <w:rFonts w:asciiTheme="majorHAnsi" w:hAnsiTheme="majorHAnsi"/>
          <w:sz w:val="24"/>
        </w:rPr>
        <w:t xml:space="preserve"> </w:t>
      </w:r>
      <w:r w:rsidR="00845EA2">
        <w:rPr>
          <w:rFonts w:asciiTheme="majorHAnsi" w:hAnsiTheme="majorHAnsi"/>
          <w:sz w:val="24"/>
        </w:rPr>
        <w:t xml:space="preserve">Town of </w:t>
      </w:r>
      <w:r w:rsidR="00845EA2" w:rsidRPr="00836048">
        <w:rPr>
          <w:rFonts w:asciiTheme="majorHAnsi" w:hAnsiTheme="majorHAnsi"/>
          <w:sz w:val="24"/>
        </w:rPr>
        <w:t>Belleair</w:t>
      </w:r>
      <w:r w:rsidRPr="00836048">
        <w:rPr>
          <w:rFonts w:asciiTheme="majorHAnsi" w:hAnsiTheme="majorHAnsi"/>
          <w:sz w:val="24"/>
        </w:rPr>
        <w:t xml:space="preserve">, Florida </w:t>
      </w:r>
    </w:p>
    <w:p w:rsidR="00836048" w:rsidRPr="00836048" w:rsidRDefault="00836048" w:rsidP="00985C3E">
      <w:pPr>
        <w:spacing w:before="120" w:after="120"/>
        <w:rPr>
          <w:rFonts w:asciiTheme="majorHAnsi" w:hAnsiTheme="majorHAnsi"/>
          <w:sz w:val="24"/>
        </w:rPr>
      </w:pPr>
      <w:r w:rsidRPr="00836048">
        <w:rPr>
          <w:rFonts w:asciiTheme="majorHAnsi" w:hAnsiTheme="majorHAnsi"/>
          <w:sz w:val="24"/>
        </w:rPr>
        <w:t xml:space="preserve">Lindsey </w:t>
      </w:r>
      <w:r w:rsidR="00845EA2" w:rsidRPr="00836048">
        <w:rPr>
          <w:rFonts w:asciiTheme="majorHAnsi" w:hAnsiTheme="majorHAnsi"/>
          <w:sz w:val="24"/>
        </w:rPr>
        <w:t>West:</w:t>
      </w:r>
      <w:r w:rsidRPr="00836048">
        <w:rPr>
          <w:rFonts w:asciiTheme="majorHAnsi" w:hAnsiTheme="majorHAnsi"/>
          <w:sz w:val="24"/>
        </w:rPr>
        <w:t xml:space="preserve"> Birmingham, Alabama </w:t>
      </w:r>
    </w:p>
    <w:p w:rsidR="005B5166" w:rsidRDefault="00836048" w:rsidP="00985C3E">
      <w:pPr>
        <w:spacing w:before="120" w:after="120"/>
        <w:rPr>
          <w:rFonts w:asciiTheme="majorHAnsi" w:hAnsiTheme="majorHAnsi"/>
          <w:sz w:val="24"/>
        </w:rPr>
      </w:pPr>
      <w:r w:rsidRPr="00836048">
        <w:rPr>
          <w:rFonts w:asciiTheme="majorHAnsi" w:hAnsiTheme="majorHAnsi"/>
          <w:sz w:val="24"/>
        </w:rPr>
        <w:t xml:space="preserve">Matthew </w:t>
      </w:r>
      <w:r w:rsidR="00845EA2" w:rsidRPr="00836048">
        <w:rPr>
          <w:rFonts w:asciiTheme="majorHAnsi" w:hAnsiTheme="majorHAnsi"/>
          <w:sz w:val="24"/>
        </w:rPr>
        <w:t>Wispinski:</w:t>
      </w:r>
      <w:r w:rsidRPr="00836048">
        <w:rPr>
          <w:rFonts w:asciiTheme="majorHAnsi" w:hAnsiTheme="majorHAnsi"/>
          <w:sz w:val="24"/>
        </w:rPr>
        <w:t xml:space="preserve"> Edmonton, </w:t>
      </w:r>
      <w:r w:rsidR="00985C3E">
        <w:rPr>
          <w:rFonts w:asciiTheme="majorHAnsi" w:hAnsiTheme="majorHAnsi"/>
          <w:sz w:val="24"/>
        </w:rPr>
        <w:t>Alberta, Canada</w:t>
      </w:r>
    </w:p>
    <w:p w:rsidR="005B5166" w:rsidRDefault="005B5166" w:rsidP="00186EF1">
      <w:pPr>
        <w:spacing w:before="120" w:after="120"/>
        <w:rPr>
          <w:rFonts w:asciiTheme="majorHAnsi" w:hAnsiTheme="majorHAnsi"/>
          <w:sz w:val="24"/>
        </w:rPr>
      </w:pPr>
    </w:p>
    <w:sectPr w:rsidR="005B5166" w:rsidSect="00747D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72" w:rsidRDefault="00BC6772" w:rsidP="005B5166">
      <w:r>
        <w:separator/>
      </w:r>
    </w:p>
  </w:endnote>
  <w:endnote w:type="continuationSeparator" w:id="0">
    <w:p w:rsidR="00BC6772" w:rsidRDefault="00BC6772" w:rsidP="005B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66" w:rsidRDefault="005B5166">
    <w:pPr>
      <w:pStyle w:val="Footer"/>
    </w:pPr>
  </w:p>
  <w:p w:rsidR="005B5166" w:rsidRDefault="005B5166" w:rsidP="005B5166">
    <w:pPr>
      <w:pStyle w:val="Footer"/>
      <w:jc w:val="center"/>
    </w:pPr>
    <w:r>
      <w:rPr>
        <w:noProof/>
      </w:rPr>
      <w:drawing>
        <wp:inline distT="0" distB="0" distL="0" distR="0">
          <wp:extent cx="4115435" cy="396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435" cy="39624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72" w:rsidRDefault="00BC6772" w:rsidP="005B5166">
      <w:r>
        <w:separator/>
      </w:r>
    </w:p>
  </w:footnote>
  <w:footnote w:type="continuationSeparator" w:id="0">
    <w:p w:rsidR="00BC6772" w:rsidRDefault="00BC6772" w:rsidP="005B5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651F"/>
    <w:multiLevelType w:val="hybridMultilevel"/>
    <w:tmpl w:val="582E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F2E24"/>
    <w:multiLevelType w:val="multilevel"/>
    <w:tmpl w:val="A21EDE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75604D1"/>
    <w:multiLevelType w:val="hybridMultilevel"/>
    <w:tmpl w:val="582E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11965"/>
    <w:multiLevelType w:val="hybridMultilevel"/>
    <w:tmpl w:val="BC86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c2NjQyNLIwNDO1NDdQ0lEKTi0uzszPAykwqgUA+o1dTywAAAA="/>
  </w:docVars>
  <w:rsids>
    <w:rsidRoot w:val="00186EF1"/>
    <w:rsid w:val="00184EC9"/>
    <w:rsid w:val="00186EF1"/>
    <w:rsid w:val="001E702D"/>
    <w:rsid w:val="00292519"/>
    <w:rsid w:val="002C5A6D"/>
    <w:rsid w:val="00397220"/>
    <w:rsid w:val="00411D57"/>
    <w:rsid w:val="00495000"/>
    <w:rsid w:val="004D6D74"/>
    <w:rsid w:val="00597DB4"/>
    <w:rsid w:val="005B5166"/>
    <w:rsid w:val="00747DA2"/>
    <w:rsid w:val="00810A81"/>
    <w:rsid w:val="00836048"/>
    <w:rsid w:val="00845EA2"/>
    <w:rsid w:val="008C727C"/>
    <w:rsid w:val="008D130E"/>
    <w:rsid w:val="00985C3E"/>
    <w:rsid w:val="009C4B98"/>
    <w:rsid w:val="009D3F9F"/>
    <w:rsid w:val="00AC4922"/>
    <w:rsid w:val="00BC6772"/>
    <w:rsid w:val="00DA4C3A"/>
    <w:rsid w:val="00E2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F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4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4B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166"/>
    <w:pPr>
      <w:tabs>
        <w:tab w:val="center" w:pos="4680"/>
        <w:tab w:val="right" w:pos="9360"/>
      </w:tabs>
    </w:pPr>
  </w:style>
  <w:style w:type="character" w:customStyle="1" w:styleId="HeaderChar">
    <w:name w:val="Header Char"/>
    <w:basedOn w:val="DefaultParagraphFont"/>
    <w:link w:val="Header"/>
    <w:uiPriority w:val="99"/>
    <w:rsid w:val="005B5166"/>
    <w:rPr>
      <w:rFonts w:ascii="Calibri" w:hAnsi="Calibri" w:cs="Times New Roman"/>
    </w:rPr>
  </w:style>
  <w:style w:type="paragraph" w:styleId="Footer">
    <w:name w:val="footer"/>
    <w:basedOn w:val="Normal"/>
    <w:link w:val="FooterChar"/>
    <w:uiPriority w:val="99"/>
    <w:unhideWhenUsed/>
    <w:rsid w:val="005B5166"/>
    <w:pPr>
      <w:tabs>
        <w:tab w:val="center" w:pos="4680"/>
        <w:tab w:val="right" w:pos="9360"/>
      </w:tabs>
    </w:pPr>
  </w:style>
  <w:style w:type="character" w:customStyle="1" w:styleId="FooterChar">
    <w:name w:val="Footer Char"/>
    <w:basedOn w:val="DefaultParagraphFont"/>
    <w:link w:val="Footer"/>
    <w:uiPriority w:val="99"/>
    <w:rsid w:val="005B5166"/>
    <w:rPr>
      <w:rFonts w:ascii="Calibri" w:hAnsi="Calibri" w:cs="Times New Roman"/>
    </w:rPr>
  </w:style>
  <w:style w:type="paragraph" w:styleId="BalloonText">
    <w:name w:val="Balloon Text"/>
    <w:basedOn w:val="Normal"/>
    <w:link w:val="BalloonTextChar"/>
    <w:uiPriority w:val="99"/>
    <w:semiHidden/>
    <w:unhideWhenUsed/>
    <w:rsid w:val="005B5166"/>
    <w:rPr>
      <w:rFonts w:ascii="Tahoma" w:hAnsi="Tahoma" w:cs="Tahoma"/>
      <w:sz w:val="16"/>
      <w:szCs w:val="16"/>
    </w:rPr>
  </w:style>
  <w:style w:type="character" w:customStyle="1" w:styleId="BalloonTextChar">
    <w:name w:val="Balloon Text Char"/>
    <w:basedOn w:val="DefaultParagraphFont"/>
    <w:link w:val="BalloonText"/>
    <w:uiPriority w:val="99"/>
    <w:semiHidden/>
    <w:rsid w:val="005B5166"/>
    <w:rPr>
      <w:rFonts w:ascii="Tahoma" w:hAnsi="Tahoma" w:cs="Tahoma"/>
      <w:sz w:val="16"/>
      <w:szCs w:val="16"/>
    </w:rPr>
  </w:style>
  <w:style w:type="paragraph" w:customStyle="1" w:styleId="Normal1">
    <w:name w:val="Normal1"/>
    <w:rsid w:val="00411D57"/>
    <w:rPr>
      <w:rFonts w:ascii="Calibri" w:eastAsia="Calibri" w:hAnsi="Calibri" w:cs="Calibri"/>
      <w:color w:val="000000"/>
      <w:lang w:val="en-CA"/>
    </w:rPr>
  </w:style>
  <w:style w:type="paragraph" w:styleId="ListParagraph">
    <w:name w:val="List Paragraph"/>
    <w:basedOn w:val="Normal"/>
    <w:uiPriority w:val="34"/>
    <w:qFormat/>
    <w:rsid w:val="00411D57"/>
    <w:pPr>
      <w:ind w:left="720"/>
      <w:contextualSpacing/>
    </w:pPr>
  </w:style>
  <w:style w:type="character" w:customStyle="1" w:styleId="Heading1Char">
    <w:name w:val="Heading 1 Char"/>
    <w:basedOn w:val="DefaultParagraphFont"/>
    <w:link w:val="Heading1"/>
    <w:uiPriority w:val="9"/>
    <w:rsid w:val="00845E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C4B9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F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4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4B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166"/>
    <w:pPr>
      <w:tabs>
        <w:tab w:val="center" w:pos="4680"/>
        <w:tab w:val="right" w:pos="9360"/>
      </w:tabs>
    </w:pPr>
  </w:style>
  <w:style w:type="character" w:customStyle="1" w:styleId="HeaderChar">
    <w:name w:val="Header Char"/>
    <w:basedOn w:val="DefaultParagraphFont"/>
    <w:link w:val="Header"/>
    <w:uiPriority w:val="99"/>
    <w:rsid w:val="005B5166"/>
    <w:rPr>
      <w:rFonts w:ascii="Calibri" w:hAnsi="Calibri" w:cs="Times New Roman"/>
    </w:rPr>
  </w:style>
  <w:style w:type="paragraph" w:styleId="Footer">
    <w:name w:val="footer"/>
    <w:basedOn w:val="Normal"/>
    <w:link w:val="FooterChar"/>
    <w:uiPriority w:val="99"/>
    <w:unhideWhenUsed/>
    <w:rsid w:val="005B5166"/>
    <w:pPr>
      <w:tabs>
        <w:tab w:val="center" w:pos="4680"/>
        <w:tab w:val="right" w:pos="9360"/>
      </w:tabs>
    </w:pPr>
  </w:style>
  <w:style w:type="character" w:customStyle="1" w:styleId="FooterChar">
    <w:name w:val="Footer Char"/>
    <w:basedOn w:val="DefaultParagraphFont"/>
    <w:link w:val="Footer"/>
    <w:uiPriority w:val="99"/>
    <w:rsid w:val="005B5166"/>
    <w:rPr>
      <w:rFonts w:ascii="Calibri" w:hAnsi="Calibri" w:cs="Times New Roman"/>
    </w:rPr>
  </w:style>
  <w:style w:type="paragraph" w:styleId="BalloonText">
    <w:name w:val="Balloon Text"/>
    <w:basedOn w:val="Normal"/>
    <w:link w:val="BalloonTextChar"/>
    <w:uiPriority w:val="99"/>
    <w:semiHidden/>
    <w:unhideWhenUsed/>
    <w:rsid w:val="005B5166"/>
    <w:rPr>
      <w:rFonts w:ascii="Tahoma" w:hAnsi="Tahoma" w:cs="Tahoma"/>
      <w:sz w:val="16"/>
      <w:szCs w:val="16"/>
    </w:rPr>
  </w:style>
  <w:style w:type="character" w:customStyle="1" w:styleId="BalloonTextChar">
    <w:name w:val="Balloon Text Char"/>
    <w:basedOn w:val="DefaultParagraphFont"/>
    <w:link w:val="BalloonText"/>
    <w:uiPriority w:val="99"/>
    <w:semiHidden/>
    <w:rsid w:val="005B5166"/>
    <w:rPr>
      <w:rFonts w:ascii="Tahoma" w:hAnsi="Tahoma" w:cs="Tahoma"/>
      <w:sz w:val="16"/>
      <w:szCs w:val="16"/>
    </w:rPr>
  </w:style>
  <w:style w:type="paragraph" w:customStyle="1" w:styleId="Normal1">
    <w:name w:val="Normal1"/>
    <w:rsid w:val="00411D57"/>
    <w:rPr>
      <w:rFonts w:ascii="Calibri" w:eastAsia="Calibri" w:hAnsi="Calibri" w:cs="Calibri"/>
      <w:color w:val="000000"/>
      <w:lang w:val="en-CA"/>
    </w:rPr>
  </w:style>
  <w:style w:type="paragraph" w:styleId="ListParagraph">
    <w:name w:val="List Paragraph"/>
    <w:basedOn w:val="Normal"/>
    <w:uiPriority w:val="34"/>
    <w:qFormat/>
    <w:rsid w:val="00411D57"/>
    <w:pPr>
      <w:ind w:left="720"/>
      <w:contextualSpacing/>
    </w:pPr>
  </w:style>
  <w:style w:type="character" w:customStyle="1" w:styleId="Heading1Char">
    <w:name w:val="Heading 1 Char"/>
    <w:basedOn w:val="DefaultParagraphFont"/>
    <w:link w:val="Heading1"/>
    <w:uiPriority w:val="9"/>
    <w:rsid w:val="00845E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C4B9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5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Douglas A. Shontz</cp:lastModifiedBy>
  <cp:revision>2</cp:revision>
  <dcterms:created xsi:type="dcterms:W3CDTF">2015-10-20T14:36:00Z</dcterms:created>
  <dcterms:modified xsi:type="dcterms:W3CDTF">2015-10-20T14:36:00Z</dcterms:modified>
</cp:coreProperties>
</file>