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3203" w:rsidRPr="00DF1E10" w:rsidRDefault="00583203" w:rsidP="00DF1E10">
      <w:pPr>
        <w:pStyle w:val="Title"/>
        <w:jc w:val="right"/>
        <w:rPr>
          <w:sz w:val="36"/>
        </w:rPr>
      </w:pPr>
      <w:r w:rsidRPr="00DF1E10">
        <w:rPr>
          <w:sz w:val="36"/>
        </w:rPr>
        <w:t xml:space="preserve">Appendix </w:t>
      </w:r>
      <w:r w:rsidR="00307656">
        <w:rPr>
          <w:sz w:val="36"/>
        </w:rPr>
        <w:t>A</w:t>
      </w:r>
    </w:p>
    <w:p w:rsidR="00AC1BF5" w:rsidRDefault="00AC1BF5" w:rsidP="00AC1BF5">
      <w:pPr>
        <w:pStyle w:val="Heading1"/>
      </w:pPr>
      <w:r>
        <w:rPr>
          <w:sz w:val="36"/>
        </w:rPr>
        <w:t>Supplemental Information for Section C Recommendations</w:t>
      </w:r>
    </w:p>
    <w:p w:rsidR="00DF1E10" w:rsidRDefault="00307656" w:rsidP="00D07819">
      <w:pPr>
        <w:pStyle w:val="Heading1"/>
        <w:jc w:val="right"/>
      </w:pPr>
      <w:r>
        <w:t>Appendix A</w:t>
      </w:r>
      <w:r w:rsidR="00DF1E10">
        <w:t>. 1</w:t>
      </w:r>
    </w:p>
    <w:p w:rsidR="009F472A" w:rsidRPr="00D07819" w:rsidRDefault="009F472A" w:rsidP="00053A91">
      <w:pPr>
        <w:pStyle w:val="Heading1"/>
        <w:rPr>
          <w:u w:val="single"/>
        </w:rPr>
      </w:pPr>
      <w:r w:rsidRPr="00D07819">
        <w:rPr>
          <w:u w:val="single"/>
        </w:rPr>
        <w:t>Development a Tool Kit for use within organizations and communities</w:t>
      </w:r>
    </w:p>
    <w:p w:rsidR="009F472A" w:rsidRPr="00953A6C" w:rsidRDefault="009F472A" w:rsidP="00053A91">
      <w:pPr>
        <w:pStyle w:val="Heading2"/>
        <w:rPr>
          <w:rFonts w:eastAsia="Times New Roman"/>
        </w:rPr>
      </w:pPr>
      <w:r w:rsidRPr="00953A6C">
        <w:rPr>
          <w:rFonts w:eastAsia="Times New Roman"/>
        </w:rPr>
        <w:t>Survey of Next Practices</w:t>
      </w:r>
    </w:p>
    <w:p w:rsidR="009F472A" w:rsidRPr="0081761A" w:rsidRDefault="009F472A" w:rsidP="0081761A">
      <w:pPr>
        <w:jc w:val="both"/>
        <w:rPr>
          <w:rFonts w:eastAsia="Times New Roman" w:cs="Times New Roman"/>
          <w:szCs w:val="24"/>
        </w:rPr>
      </w:pPr>
      <w:r w:rsidRPr="0081761A">
        <w:rPr>
          <w:rFonts w:eastAsia="Times New Roman" w:cs="Times New Roman"/>
          <w:szCs w:val="24"/>
        </w:rPr>
        <w:t>As a result of the dearth of easily identified tools or practices for encouraging conversations about inclusiveness, one of the very first items for inclusion in a tool box should be a comprehensive national survey of local governments regarding what is being done on this front to identify ideas and strategies beyond what are included here.   It is presumed that this survey would actually occur prior to releasing a tool box, and that the results of the survey, along with contact information for any innovative strategies being utilized would be incorporated into the tool box.  Depending upon the results of the survey, some of the specific strategies might become the basis for templates for inclusion in the toolbox as well to make it easy for other governments to replicate.</w:t>
      </w:r>
    </w:p>
    <w:p w:rsidR="009F472A" w:rsidRPr="00053A91" w:rsidRDefault="009F472A" w:rsidP="00053A91">
      <w:pPr>
        <w:pStyle w:val="Heading3"/>
        <w:rPr>
          <w:rFonts w:eastAsia="Times New Roman"/>
        </w:rPr>
      </w:pPr>
      <w:r w:rsidRPr="00053A91">
        <w:rPr>
          <w:rFonts w:eastAsia="Times New Roman"/>
        </w:rPr>
        <w:t>Dining and Dialogue “How To” Template</w:t>
      </w:r>
    </w:p>
    <w:p w:rsidR="009F472A" w:rsidRPr="0081761A" w:rsidRDefault="009F472A" w:rsidP="0081761A">
      <w:pPr>
        <w:jc w:val="both"/>
        <w:rPr>
          <w:rFonts w:eastAsia="Times New Roman" w:cs="Times New Roman"/>
          <w:szCs w:val="24"/>
        </w:rPr>
      </w:pPr>
      <w:r w:rsidRPr="0081761A">
        <w:rPr>
          <w:rFonts w:eastAsia="Times New Roman" w:cs="Times New Roman"/>
          <w:szCs w:val="24"/>
        </w:rPr>
        <w:t xml:space="preserve">The City of </w:t>
      </w:r>
      <w:proofErr w:type="spellStart"/>
      <w:r w:rsidRPr="0081761A">
        <w:rPr>
          <w:rFonts w:eastAsia="Times New Roman" w:cs="Times New Roman"/>
          <w:szCs w:val="24"/>
        </w:rPr>
        <w:t>DeSoto</w:t>
      </w:r>
      <w:proofErr w:type="spellEnd"/>
      <w:r w:rsidRPr="0081761A">
        <w:rPr>
          <w:rFonts w:eastAsia="Times New Roman" w:cs="Times New Roman"/>
          <w:szCs w:val="24"/>
        </w:rPr>
        <w:t xml:space="preserve"> is a highly diverse community located just south of Dallas, Texas (</w:t>
      </w:r>
      <w:hyperlink r:id="rId10" w:history="1">
        <w:r w:rsidRPr="0081761A">
          <w:rPr>
            <w:rFonts w:eastAsia="Times New Roman"/>
          </w:rPr>
          <w:t>www.ci.desoto.tx.us</w:t>
        </w:r>
      </w:hyperlink>
      <w:r w:rsidRPr="0081761A">
        <w:rPr>
          <w:rFonts w:eastAsia="Times New Roman" w:cs="Times New Roman"/>
          <w:szCs w:val="24"/>
        </w:rPr>
        <w:t>).  In response to their desire to build strong community ties in the midst of demographic shift, the City initiated “</w:t>
      </w:r>
      <w:proofErr w:type="spellStart"/>
      <w:r w:rsidRPr="0081761A">
        <w:rPr>
          <w:rFonts w:eastAsia="Times New Roman" w:cs="Times New Roman"/>
          <w:szCs w:val="24"/>
        </w:rPr>
        <w:t>DeSoto</w:t>
      </w:r>
      <w:proofErr w:type="spellEnd"/>
      <w:r w:rsidRPr="0081761A">
        <w:rPr>
          <w:rFonts w:eastAsia="Times New Roman" w:cs="Times New Roman"/>
          <w:szCs w:val="24"/>
        </w:rPr>
        <w:t xml:space="preserve"> Dining and Dialogue”.   The program was designed to create cross cultural conversations around the dinner table among citizens who might not otherwise share dinner.  The </w:t>
      </w:r>
      <w:proofErr w:type="gramStart"/>
      <w:r w:rsidRPr="0081761A">
        <w:rPr>
          <w:rFonts w:eastAsia="Times New Roman" w:cs="Times New Roman"/>
          <w:szCs w:val="24"/>
        </w:rPr>
        <w:t>presumption was that when people of good faith and good intent connect in a meaningful way and get</w:t>
      </w:r>
      <w:proofErr w:type="gramEnd"/>
      <w:r w:rsidRPr="0081761A">
        <w:rPr>
          <w:rFonts w:eastAsia="Times New Roman" w:cs="Times New Roman"/>
          <w:szCs w:val="24"/>
        </w:rPr>
        <w:t xml:space="preserve"> to know each other as people, good things happen – and that sharing a meal together was the best way to make that happen.  The program ultimately led the National Civic League to name </w:t>
      </w:r>
      <w:proofErr w:type="spellStart"/>
      <w:r w:rsidRPr="0081761A">
        <w:rPr>
          <w:rFonts w:eastAsia="Times New Roman" w:cs="Times New Roman"/>
          <w:szCs w:val="24"/>
        </w:rPr>
        <w:t>DeSoto</w:t>
      </w:r>
      <w:proofErr w:type="spellEnd"/>
      <w:r w:rsidRPr="0081761A">
        <w:rPr>
          <w:rFonts w:eastAsia="Times New Roman" w:cs="Times New Roman"/>
          <w:szCs w:val="24"/>
        </w:rPr>
        <w:t xml:space="preserve"> as an All American City.  It has continued for over a decade now and is considered part of the fabric of the community.  It was launched by the city, and is still coordinated by City of </w:t>
      </w:r>
      <w:proofErr w:type="spellStart"/>
      <w:r w:rsidRPr="0081761A">
        <w:rPr>
          <w:rFonts w:eastAsia="Times New Roman" w:cs="Times New Roman"/>
          <w:szCs w:val="24"/>
        </w:rPr>
        <w:t>DeSoto</w:t>
      </w:r>
      <w:proofErr w:type="spellEnd"/>
      <w:r w:rsidRPr="0081761A">
        <w:rPr>
          <w:rFonts w:eastAsia="Times New Roman" w:cs="Times New Roman"/>
          <w:szCs w:val="24"/>
        </w:rPr>
        <w:t xml:space="preserve"> Community Relations Director Kathy Maples Jones who can be reached at 972-230-9648.  The Dining and Dialogue page on the city’s website is located </w:t>
      </w:r>
      <w:proofErr w:type="gramStart"/>
      <w:r w:rsidRPr="0081761A">
        <w:rPr>
          <w:rFonts w:eastAsia="Times New Roman" w:cs="Times New Roman"/>
          <w:szCs w:val="24"/>
        </w:rPr>
        <w:t xml:space="preserve">at  </w:t>
      </w:r>
      <w:proofErr w:type="gramEnd"/>
      <w:r w:rsidR="00307656">
        <w:fldChar w:fldCharType="begin"/>
      </w:r>
      <w:r w:rsidR="00307656">
        <w:instrText xml:space="preserve"> HYPERLINK "http://www.ci.desoto.tx.us/index.aspx?nid=739" </w:instrText>
      </w:r>
      <w:r w:rsidR="00307656">
        <w:fldChar w:fldCharType="separate"/>
      </w:r>
      <w:r w:rsidRPr="0081761A">
        <w:rPr>
          <w:rFonts w:eastAsia="Times New Roman"/>
        </w:rPr>
        <w:t>http://www.ci.desoto.tx.us/index.aspx?nid=739</w:t>
      </w:r>
      <w:r w:rsidR="00307656">
        <w:rPr>
          <w:rFonts w:eastAsia="Times New Roman"/>
        </w:rPr>
        <w:fldChar w:fldCharType="end"/>
      </w:r>
      <w:r w:rsidRPr="0081761A">
        <w:rPr>
          <w:rFonts w:eastAsia="Times New Roman" w:cs="Times New Roman"/>
          <w:szCs w:val="24"/>
        </w:rPr>
        <w:t xml:space="preserve">.     </w:t>
      </w:r>
      <w:proofErr w:type="spellStart"/>
      <w:r w:rsidRPr="0081761A">
        <w:rPr>
          <w:rFonts w:eastAsia="Times New Roman" w:cs="Times New Roman"/>
          <w:szCs w:val="24"/>
        </w:rPr>
        <w:t>DeSoto</w:t>
      </w:r>
      <w:proofErr w:type="spellEnd"/>
      <w:r w:rsidRPr="0081761A">
        <w:rPr>
          <w:rFonts w:eastAsia="Times New Roman" w:cs="Times New Roman"/>
          <w:szCs w:val="24"/>
        </w:rPr>
        <w:t xml:space="preserve"> Dining and Dialogue has now become a 501</w:t>
      </w:r>
      <w:proofErr w:type="gramStart"/>
      <w:r w:rsidRPr="0081761A">
        <w:rPr>
          <w:rFonts w:eastAsia="Times New Roman" w:cs="Times New Roman"/>
          <w:szCs w:val="24"/>
        </w:rPr>
        <w:t>( c</w:t>
      </w:r>
      <w:proofErr w:type="gramEnd"/>
      <w:r w:rsidRPr="0081761A">
        <w:rPr>
          <w:rFonts w:eastAsia="Times New Roman" w:cs="Times New Roman"/>
          <w:szCs w:val="24"/>
        </w:rPr>
        <w:t xml:space="preserve"> )3 organization and their website is located at </w:t>
      </w:r>
      <w:hyperlink r:id="rId11" w:history="1">
        <w:r w:rsidRPr="0081761A">
          <w:rPr>
            <w:rFonts w:eastAsia="Times New Roman"/>
          </w:rPr>
          <w:t>www.desotodd.org</w:t>
        </w:r>
      </w:hyperlink>
      <w:r w:rsidRPr="0081761A">
        <w:rPr>
          <w:rFonts w:eastAsia="Times New Roman" w:cs="Times New Roman"/>
          <w:szCs w:val="24"/>
        </w:rPr>
        <w:t xml:space="preserve">.  </w:t>
      </w:r>
    </w:p>
    <w:p w:rsidR="009F472A" w:rsidRDefault="009F472A">
      <w:pPr>
        <w:jc w:val="both"/>
        <w:rPr>
          <w:rFonts w:eastAsia="Times New Roman" w:cs="Times New Roman"/>
          <w:szCs w:val="24"/>
        </w:rPr>
      </w:pPr>
      <w:r w:rsidRPr="0081761A">
        <w:rPr>
          <w:rFonts w:eastAsia="Times New Roman" w:cs="Times New Roman"/>
          <w:szCs w:val="24"/>
        </w:rPr>
        <w:t xml:space="preserve">This program appears to offer an exceptional and successful model for creating conversations across cultural lines.  Based on the successful model in place, it would be relatively easy for the Committee on Inclusiveness or ICMA to modify it slightly and create a “paint by number kit” that other organizations could follow.  It appears that it would be very easy to modify it to create a community version and an employee version.  As a bare minimum, a basic information piece with contact details for the city of </w:t>
      </w:r>
      <w:proofErr w:type="spellStart"/>
      <w:r w:rsidRPr="0081761A">
        <w:rPr>
          <w:rFonts w:eastAsia="Times New Roman" w:cs="Times New Roman"/>
          <w:szCs w:val="24"/>
        </w:rPr>
        <w:t>DeSoto</w:t>
      </w:r>
      <w:proofErr w:type="spellEnd"/>
      <w:r w:rsidRPr="0081761A">
        <w:rPr>
          <w:rFonts w:eastAsia="Times New Roman" w:cs="Times New Roman"/>
          <w:szCs w:val="24"/>
        </w:rPr>
        <w:t xml:space="preserve"> could be provided within the tool kit to organizations.  However, ideally, a “how to” template that is easily duplicable for other organizations would have more impact.   </w:t>
      </w:r>
    </w:p>
    <w:p w:rsidR="00480B5B" w:rsidRPr="0081761A" w:rsidRDefault="00480B5B">
      <w:pPr>
        <w:jc w:val="both"/>
        <w:rPr>
          <w:rFonts w:eastAsia="Times New Roman" w:cs="Times New Roman"/>
          <w:szCs w:val="24"/>
        </w:rPr>
      </w:pPr>
      <w:r>
        <w:rPr>
          <w:rFonts w:eastAsia="Times New Roman" w:cs="Times New Roman"/>
          <w:szCs w:val="24"/>
        </w:rPr>
        <w:t xml:space="preserve">Other local government organizations </w:t>
      </w:r>
      <w:proofErr w:type="gramStart"/>
      <w:r>
        <w:rPr>
          <w:rFonts w:eastAsia="Times New Roman" w:cs="Times New Roman"/>
          <w:szCs w:val="24"/>
        </w:rPr>
        <w:t>who</w:t>
      </w:r>
      <w:proofErr w:type="gramEnd"/>
      <w:r>
        <w:rPr>
          <w:rFonts w:eastAsia="Times New Roman" w:cs="Times New Roman"/>
          <w:szCs w:val="24"/>
        </w:rPr>
        <w:t xml:space="preserve"> have made strides in this area include: Brooklyn Park, Minnesota, Dubuque, Iowa and Boulder, Colorado.</w:t>
      </w:r>
    </w:p>
    <w:p w:rsidR="009F472A" w:rsidRPr="00053A91" w:rsidRDefault="009F472A" w:rsidP="00053A91">
      <w:pPr>
        <w:pStyle w:val="Heading3"/>
        <w:rPr>
          <w:rFonts w:eastAsia="Times New Roman"/>
        </w:rPr>
      </w:pPr>
      <w:r w:rsidRPr="00053A91">
        <w:rPr>
          <w:rFonts w:eastAsia="Times New Roman"/>
        </w:rPr>
        <w:t xml:space="preserve">Leading Edge Business Book Video Discussions </w:t>
      </w:r>
    </w:p>
    <w:p w:rsidR="009F472A" w:rsidRPr="00053A91" w:rsidRDefault="009F472A" w:rsidP="00053A91">
      <w:pPr>
        <w:jc w:val="both"/>
        <w:rPr>
          <w:rFonts w:eastAsia="Times New Roman" w:cs="Times New Roman"/>
          <w:szCs w:val="24"/>
        </w:rPr>
      </w:pPr>
      <w:r w:rsidRPr="00053A91">
        <w:rPr>
          <w:rFonts w:eastAsia="Times New Roman" w:cs="Times New Roman"/>
          <w:szCs w:val="24"/>
        </w:rPr>
        <w:t xml:space="preserve">Designed for both a focus on practical leading edge leadership thinking, as well as time constrained leaders and employees, would be book discussion groups around videos.  The videos would be produced as synopsis of leading business books.  Instead of reading the entire book, participants come together and watch a 30 minute synopsis of the </w:t>
      </w:r>
      <w:r w:rsidRPr="00053A91">
        <w:rPr>
          <w:rFonts w:eastAsia="Times New Roman" w:cs="Times New Roman"/>
          <w:szCs w:val="24"/>
        </w:rPr>
        <w:lastRenderedPageBreak/>
        <w:t>book on video, and then engage in discussion.   Discussion facilitator guides should be developed that both coach the facilitator on how to effectively lead these discussions as well as include planned discussion questions for each book that help to engage issues regarding inclusiveness with sensitivity, but meaningfully constructive engagement.   This program would present leading edge books on leadership that are not “about” inclusiveness, but each facilitator guide would incorporate one or two questions related to inclusiveness into the discussion questions for each book.    This approach is ideal for a “lunch and learn” format and can work both with the community and with employees, or across those lines.</w:t>
      </w:r>
    </w:p>
    <w:p w:rsidR="009F472A" w:rsidRPr="00053A91" w:rsidRDefault="009F472A" w:rsidP="00053A91">
      <w:pPr>
        <w:pStyle w:val="Heading3"/>
        <w:rPr>
          <w:rFonts w:eastAsia="Times New Roman"/>
        </w:rPr>
      </w:pPr>
      <w:r w:rsidRPr="00053A91">
        <w:rPr>
          <w:rFonts w:eastAsia="Times New Roman"/>
        </w:rPr>
        <w:t>Fiction Book Discussions</w:t>
      </w:r>
    </w:p>
    <w:p w:rsidR="009F472A" w:rsidRPr="00053A91" w:rsidRDefault="009F472A" w:rsidP="00053A91">
      <w:pPr>
        <w:jc w:val="both"/>
        <w:rPr>
          <w:rFonts w:eastAsia="Times New Roman" w:cs="Times New Roman"/>
          <w:szCs w:val="24"/>
        </w:rPr>
      </w:pPr>
      <w:r w:rsidRPr="00053A91">
        <w:rPr>
          <w:rFonts w:eastAsia="Times New Roman" w:cs="Times New Roman"/>
          <w:szCs w:val="24"/>
        </w:rPr>
        <w:t>Book discussions have always been an effective way to expand thinking, challenge preconceptions and build relationships in a constructive and non-threatening way.    The tool kit should provide a “how to” template that maps out exactly how to organize and schedule the events either internally or community wide.   Discussion facilitator guides should be developed that both coach the facilitator on how to effectively lead these discussions, as well as include planned discussion questions for each book that help to engage issues regarding inclusiveness with sensitivity, but meaningfully constructive engagement.   This program would work best with people who love to read and love to discuss the books they have read.  Ideally books would be selected with the assistance of a librarian to help stimulate meaningful conversations.  This approach can work equally well with the community and with employees, or across lines.</w:t>
      </w:r>
    </w:p>
    <w:p w:rsidR="009F472A" w:rsidRPr="00053A91" w:rsidRDefault="009F472A" w:rsidP="00053A91">
      <w:pPr>
        <w:pStyle w:val="Heading3"/>
        <w:rPr>
          <w:rFonts w:eastAsia="Times New Roman"/>
        </w:rPr>
      </w:pPr>
      <w:r w:rsidRPr="00053A91">
        <w:rPr>
          <w:rFonts w:eastAsia="Times New Roman"/>
        </w:rPr>
        <w:t>Coaching and Mentoring Guide</w:t>
      </w:r>
    </w:p>
    <w:p w:rsidR="009F472A" w:rsidRPr="00053A91" w:rsidRDefault="009F472A" w:rsidP="00053A91">
      <w:pPr>
        <w:jc w:val="both"/>
        <w:rPr>
          <w:rFonts w:eastAsia="Times New Roman" w:cs="Times New Roman"/>
          <w:szCs w:val="24"/>
        </w:rPr>
      </w:pPr>
      <w:r w:rsidRPr="00053A91">
        <w:rPr>
          <w:rFonts w:eastAsia="Times New Roman" w:cs="Times New Roman"/>
          <w:szCs w:val="24"/>
        </w:rPr>
        <w:t xml:space="preserve">The essence of coaching and mentoring regards conversations which communicate with people in an effective way regarding how to get better.  Unfortunately, far too many organizations expect supervisors to coach and/or mentor employees without ever ensuring that those employees have the tools or the ability to be effective at such.   This is particularly true when it comes to having conversations across cultural lines.  Because people are anxious about cross cultural conversations and do not know how to have conversations with those who are different from </w:t>
      </w:r>
      <w:r w:rsidR="009E661E" w:rsidRPr="00053A91">
        <w:rPr>
          <w:rFonts w:eastAsia="Times New Roman" w:cs="Times New Roman"/>
          <w:szCs w:val="24"/>
        </w:rPr>
        <w:t>them</w:t>
      </w:r>
      <w:r w:rsidRPr="00053A91">
        <w:rPr>
          <w:rFonts w:eastAsia="Times New Roman" w:cs="Times New Roman"/>
          <w:szCs w:val="24"/>
        </w:rPr>
        <w:t>, they often simply avoid having any conversation at all.   One product in the market is a “coach in a box” that contains cards to use in having conversations.  A similar product could be produced by ICMA that provides a template for effective coaching conversations, which are not “about” inclusiveness, but which encompass inclusiveness.  This strategy would be focused internally only.</w:t>
      </w:r>
    </w:p>
    <w:p w:rsidR="009F472A" w:rsidRPr="00053A91" w:rsidRDefault="009F472A" w:rsidP="00053A91">
      <w:pPr>
        <w:pStyle w:val="Heading3"/>
        <w:rPr>
          <w:rFonts w:eastAsia="Times New Roman"/>
        </w:rPr>
      </w:pPr>
      <w:r w:rsidRPr="00053A91">
        <w:rPr>
          <w:rFonts w:eastAsia="Times New Roman"/>
        </w:rPr>
        <w:t>Performance Coaching</w:t>
      </w:r>
    </w:p>
    <w:p w:rsidR="00DB0784" w:rsidRPr="00C67EA7" w:rsidRDefault="009F472A">
      <w:pPr>
        <w:pStyle w:val="Title"/>
        <w:rPr>
          <w:rFonts w:asciiTheme="minorHAnsi" w:eastAsia="Times New Roman" w:hAnsiTheme="minorHAnsi" w:cs="Times New Roman"/>
          <w:color w:val="auto"/>
          <w:spacing w:val="0"/>
          <w:kern w:val="0"/>
          <w:sz w:val="22"/>
          <w:szCs w:val="24"/>
        </w:rPr>
      </w:pPr>
      <w:r w:rsidRPr="00C67EA7">
        <w:rPr>
          <w:rFonts w:asciiTheme="minorHAnsi" w:eastAsia="Times New Roman" w:hAnsiTheme="minorHAnsi" w:cs="Times New Roman"/>
          <w:color w:val="auto"/>
          <w:spacing w:val="0"/>
          <w:kern w:val="0"/>
          <w:sz w:val="22"/>
          <w:szCs w:val="24"/>
        </w:rPr>
        <w:t>One of the challenges for organizations that want to have more conversations about creating a culture of inclusiveness is that success has never been clearly defined.  As a result, it is difficult to set performance expectations.  Obviously, there are numerous delicate issues associated with performance evaluations.  However, the difficulty of the task simply increases the likelihood it will not be tackled by any organization on its’ own, and as a result, the importance of it being tackled by ICMA.   The goal here would be to create expectation standards for supervisors and managers to create the type of inclusiveness culture desired by the organization AND provide guidelines for how to provide performance coaching conversations to help them achieve such.  This strategy would be focused internally only.</w:t>
      </w:r>
    </w:p>
    <w:p w:rsidR="00C67EA7" w:rsidRPr="00C67EA7" w:rsidRDefault="00C67EA7" w:rsidP="00C67EA7">
      <w:r>
        <w:br w:type="page"/>
      </w:r>
    </w:p>
    <w:p w:rsidR="00DF1E10" w:rsidRDefault="00DF1E10" w:rsidP="00D07819">
      <w:pPr>
        <w:pStyle w:val="Heading1"/>
        <w:spacing w:before="0"/>
        <w:jc w:val="right"/>
      </w:pPr>
      <w:r>
        <w:lastRenderedPageBreak/>
        <w:t>A</w:t>
      </w:r>
      <w:r w:rsidR="00307656">
        <w:t>ppendix A</w:t>
      </w:r>
      <w:r>
        <w:t>. 2</w:t>
      </w:r>
    </w:p>
    <w:p w:rsidR="00DF1E10" w:rsidRPr="00DF1E10" w:rsidRDefault="00DF1E10" w:rsidP="00DF1E10"/>
    <w:p w:rsidR="009E645A" w:rsidRPr="00D07819" w:rsidRDefault="00DF1E10" w:rsidP="00DF1E10">
      <w:pPr>
        <w:pStyle w:val="Heading1"/>
        <w:spacing w:before="0"/>
        <w:rPr>
          <w:u w:val="single"/>
        </w:rPr>
      </w:pPr>
      <w:r w:rsidRPr="00D07819">
        <w:rPr>
          <w:u w:val="single"/>
        </w:rPr>
        <w:t>D</w:t>
      </w:r>
      <w:r w:rsidR="009E645A" w:rsidRPr="00D07819">
        <w:rPr>
          <w:u w:val="single"/>
        </w:rPr>
        <w:t>efinitions</w:t>
      </w:r>
    </w:p>
    <w:p w:rsidR="00DF1E10" w:rsidRPr="00DF1E10" w:rsidRDefault="00DF1E10" w:rsidP="00DF1E10"/>
    <w:p w:rsidR="009E645A" w:rsidRPr="00DB0784" w:rsidRDefault="009E645A">
      <w:pPr>
        <w:jc w:val="both"/>
        <w:rPr>
          <w:rFonts w:cs="Times New Roman"/>
          <w:szCs w:val="24"/>
        </w:rPr>
      </w:pPr>
      <w:r w:rsidRPr="00DB0784">
        <w:rPr>
          <w:rFonts w:cs="Times New Roman"/>
          <w:b/>
          <w:szCs w:val="24"/>
        </w:rPr>
        <w:t xml:space="preserve">Bias: </w:t>
      </w:r>
      <w:r w:rsidRPr="00DB0784">
        <w:rPr>
          <w:rFonts w:cs="Times New Roman"/>
          <w:szCs w:val="24"/>
        </w:rPr>
        <w:t xml:space="preserve">the evaluation of one group and its members relative to another. </w:t>
      </w:r>
    </w:p>
    <w:p w:rsidR="009E645A" w:rsidRPr="00DB0784" w:rsidRDefault="009E645A">
      <w:pPr>
        <w:jc w:val="both"/>
        <w:rPr>
          <w:rFonts w:cs="Times New Roman"/>
          <w:szCs w:val="24"/>
        </w:rPr>
      </w:pPr>
      <w:r w:rsidRPr="00DB0784">
        <w:rPr>
          <w:rFonts w:cs="Times New Roman"/>
          <w:b/>
          <w:szCs w:val="24"/>
        </w:rPr>
        <w:t xml:space="preserve">Culture: </w:t>
      </w:r>
      <w:r w:rsidRPr="00DB0784">
        <w:rPr>
          <w:rFonts w:cs="Times New Roman"/>
          <w:szCs w:val="24"/>
        </w:rPr>
        <w:t xml:space="preserve">A social system of meaning and custom that is developed by a group of people to assure its adaptation and survival. These groups are distinguished by a set of unspoken rules that shape values, beliefs, </w:t>
      </w:r>
      <w:proofErr w:type="gramStart"/>
      <w:r w:rsidRPr="00DB0784">
        <w:rPr>
          <w:rFonts w:cs="Times New Roman"/>
          <w:szCs w:val="24"/>
        </w:rPr>
        <w:t>habits</w:t>
      </w:r>
      <w:proofErr w:type="gramEnd"/>
      <w:r w:rsidRPr="00DB0784">
        <w:rPr>
          <w:rFonts w:cs="Times New Roman"/>
          <w:szCs w:val="24"/>
        </w:rPr>
        <w:t>, patterns of thinking, behaviors and styles of communication.</w:t>
      </w:r>
    </w:p>
    <w:p w:rsidR="009E645A" w:rsidRPr="00DB0784" w:rsidRDefault="009E645A">
      <w:pPr>
        <w:jc w:val="both"/>
        <w:rPr>
          <w:rFonts w:cs="Times New Roman"/>
          <w:szCs w:val="24"/>
        </w:rPr>
      </w:pPr>
      <w:r w:rsidRPr="00DB0784">
        <w:rPr>
          <w:rFonts w:cs="Times New Roman"/>
          <w:b/>
          <w:szCs w:val="24"/>
        </w:rPr>
        <w:t>Explicit Bias</w:t>
      </w:r>
      <w:r w:rsidRPr="00DB0784">
        <w:rPr>
          <w:rFonts w:cs="Times New Roman"/>
          <w:szCs w:val="24"/>
        </w:rPr>
        <w:t xml:space="preserve">: Biases that people are aware of and that operate consciously. They are expressed directly. </w:t>
      </w:r>
    </w:p>
    <w:p w:rsidR="009E645A" w:rsidRPr="00DB0784" w:rsidRDefault="009E645A">
      <w:pPr>
        <w:jc w:val="both"/>
        <w:rPr>
          <w:rFonts w:cs="Times New Roman"/>
          <w:szCs w:val="24"/>
        </w:rPr>
      </w:pPr>
      <w:r w:rsidRPr="00DB0784">
        <w:rPr>
          <w:rFonts w:cs="Times New Roman"/>
          <w:b/>
          <w:szCs w:val="24"/>
        </w:rPr>
        <w:t>Implicit Bias</w:t>
      </w:r>
      <w:r w:rsidRPr="00DB0784">
        <w:rPr>
          <w:rFonts w:cs="Times New Roman"/>
          <w:szCs w:val="24"/>
        </w:rPr>
        <w:t xml:space="preserve">: Biases people are usually unaware of and that operate at the subconscious level. Implicit bias is usually expressed indirectly. </w:t>
      </w:r>
    </w:p>
    <w:p w:rsidR="009E645A" w:rsidRPr="00DB0784" w:rsidRDefault="009E645A">
      <w:pPr>
        <w:jc w:val="both"/>
        <w:rPr>
          <w:rFonts w:cs="Times New Roman"/>
          <w:szCs w:val="24"/>
        </w:rPr>
      </w:pPr>
      <w:r w:rsidRPr="00DB0784">
        <w:rPr>
          <w:rFonts w:cs="Times New Roman"/>
          <w:b/>
          <w:szCs w:val="24"/>
        </w:rPr>
        <w:t xml:space="preserve">Inclusion: </w:t>
      </w:r>
      <w:r w:rsidRPr="00DB0784">
        <w:rPr>
          <w:rFonts w:cs="Times New Roman"/>
          <w:szCs w:val="24"/>
        </w:rPr>
        <w:t>Authentically bringing traditionally excluded individuals and/or groups into processes, activities, and decision/policy making in a way that shares power.</w:t>
      </w:r>
    </w:p>
    <w:p w:rsidR="00590B89" w:rsidRPr="00DF1E10" w:rsidRDefault="00590B89">
      <w:pPr>
        <w:jc w:val="both"/>
        <w:rPr>
          <w:rFonts w:cs="Times New Roman"/>
          <w:szCs w:val="24"/>
        </w:rPr>
      </w:pPr>
      <w:r>
        <w:rPr>
          <w:rFonts w:cs="Times New Roman"/>
          <w:szCs w:val="24"/>
        </w:rPr>
        <w:t>Racism (See diagram from the Center for Social Inclusion):</w:t>
      </w:r>
    </w:p>
    <w:p w:rsidR="00590B89" w:rsidRDefault="00590B89" w:rsidP="00DF1E10">
      <w:pPr>
        <w:ind w:left="720"/>
        <w:jc w:val="center"/>
        <w:rPr>
          <w:rFonts w:cs="Times New Roman"/>
          <w:b/>
          <w:szCs w:val="24"/>
        </w:rPr>
      </w:pPr>
      <w:r>
        <w:rPr>
          <w:rFonts w:cs="Times New Roman"/>
          <w:b/>
          <w:noProof/>
          <w:szCs w:val="24"/>
        </w:rPr>
        <w:drawing>
          <wp:inline distT="0" distB="0" distL="0" distR="0" wp14:anchorId="51390161" wp14:editId="12F6C0D4">
            <wp:extent cx="4535805" cy="316420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35805" cy="3164205"/>
                    </a:xfrm>
                    <a:prstGeom prst="rect">
                      <a:avLst/>
                    </a:prstGeom>
                    <a:noFill/>
                  </pic:spPr>
                </pic:pic>
              </a:graphicData>
            </a:graphic>
          </wp:inline>
        </w:drawing>
      </w:r>
    </w:p>
    <w:p w:rsidR="009E645A" w:rsidRPr="00DB0784" w:rsidRDefault="009E645A" w:rsidP="00DF1E10">
      <w:pPr>
        <w:ind w:left="720"/>
        <w:jc w:val="both"/>
        <w:rPr>
          <w:rFonts w:cs="Times New Roman"/>
          <w:szCs w:val="24"/>
        </w:rPr>
      </w:pPr>
      <w:r w:rsidRPr="00DB0784">
        <w:rPr>
          <w:rFonts w:cs="Times New Roman"/>
          <w:b/>
          <w:szCs w:val="24"/>
        </w:rPr>
        <w:t>Individual Racism</w:t>
      </w:r>
      <w:r w:rsidRPr="00DB0784">
        <w:rPr>
          <w:rFonts w:cs="Times New Roman"/>
          <w:szCs w:val="24"/>
        </w:rPr>
        <w:t xml:space="preserve">: Pre-judgment, bias or discrimination based on race by an individual. </w:t>
      </w:r>
      <w:proofErr w:type="gramStart"/>
      <w:r w:rsidRPr="00DB0784">
        <w:rPr>
          <w:rFonts w:cs="Times New Roman"/>
          <w:szCs w:val="24"/>
        </w:rPr>
        <w:t>The impacts of racism on individuals including white people internalizing privilege and people of color internalizing oppression.</w:t>
      </w:r>
      <w:proofErr w:type="gramEnd"/>
      <w:r w:rsidRPr="00DB0784">
        <w:rPr>
          <w:rFonts w:cs="Times New Roman"/>
          <w:szCs w:val="24"/>
        </w:rPr>
        <w:t xml:space="preserve"> </w:t>
      </w:r>
    </w:p>
    <w:p w:rsidR="009E645A" w:rsidRDefault="009E645A" w:rsidP="00DF1E10">
      <w:pPr>
        <w:ind w:left="720"/>
        <w:jc w:val="both"/>
        <w:rPr>
          <w:rFonts w:cs="Times New Roman"/>
          <w:szCs w:val="24"/>
        </w:rPr>
      </w:pPr>
      <w:r w:rsidRPr="00DB0784">
        <w:rPr>
          <w:rFonts w:cs="Times New Roman"/>
          <w:b/>
          <w:szCs w:val="24"/>
        </w:rPr>
        <w:t>Institutional Racism</w:t>
      </w:r>
      <w:r w:rsidRPr="00DB0784">
        <w:rPr>
          <w:rFonts w:cs="Times New Roman"/>
          <w:szCs w:val="24"/>
        </w:rPr>
        <w:t xml:space="preserve">: Organizational programs, policies, practices and procedures that work better for white people than for people of color, often unintentionally or inadvertently. </w:t>
      </w:r>
    </w:p>
    <w:p w:rsidR="00590B89" w:rsidRPr="00DB0784" w:rsidRDefault="00590B89" w:rsidP="00DF1E10">
      <w:pPr>
        <w:ind w:left="720"/>
        <w:jc w:val="both"/>
        <w:rPr>
          <w:rFonts w:cs="Times New Roman"/>
          <w:szCs w:val="24"/>
        </w:rPr>
      </w:pPr>
      <w:r w:rsidRPr="00DB0784">
        <w:rPr>
          <w:rFonts w:cs="Times New Roman"/>
          <w:b/>
          <w:szCs w:val="24"/>
        </w:rPr>
        <w:t>Structural Racism</w:t>
      </w:r>
      <w:r w:rsidRPr="00DB0784">
        <w:rPr>
          <w:rFonts w:cs="Times New Roman"/>
          <w:szCs w:val="24"/>
        </w:rPr>
        <w:t xml:space="preserve">: A history and current reality of institutional racism across all institutions, combining to create a system that negatively impacts communities of color. The interplay of policies, practices and programs of </w:t>
      </w:r>
      <w:r w:rsidRPr="00DB0784">
        <w:rPr>
          <w:rFonts w:cs="Times New Roman"/>
          <w:szCs w:val="24"/>
        </w:rPr>
        <w:lastRenderedPageBreak/>
        <w:t xml:space="preserve">multiple institutions which leads to adverse outcomes and conditions for communities of color compared to white communities that occurs within the context of racialized historical and cultural conditions. </w:t>
      </w:r>
    </w:p>
    <w:p w:rsidR="00590B89" w:rsidRPr="00DB0784" w:rsidRDefault="00590B89" w:rsidP="00590B89">
      <w:pPr>
        <w:jc w:val="both"/>
        <w:rPr>
          <w:rFonts w:cs="Times New Roman"/>
          <w:szCs w:val="24"/>
        </w:rPr>
      </w:pPr>
    </w:p>
    <w:p w:rsidR="009E645A" w:rsidRPr="00DB0784" w:rsidRDefault="009E645A">
      <w:pPr>
        <w:jc w:val="both"/>
        <w:rPr>
          <w:rFonts w:cs="Times New Roman"/>
          <w:szCs w:val="24"/>
        </w:rPr>
      </w:pPr>
      <w:r w:rsidRPr="00DB0784">
        <w:rPr>
          <w:rFonts w:cs="Times New Roman"/>
          <w:b/>
          <w:szCs w:val="24"/>
        </w:rPr>
        <w:t xml:space="preserve">Diversity: </w:t>
      </w:r>
      <w:r w:rsidRPr="00DB0784">
        <w:rPr>
          <w:rFonts w:cs="Times New Roman"/>
          <w:szCs w:val="24"/>
        </w:rPr>
        <w:t>Diversity includes all the ways in which people differ, and it encompasses all the different characteristics that make one individual or group different from another. It is all-inclusive and recognizes everyone and every group as part of the diversity that should be valued. A broad definition includes not only race, ethnicity, and gender — the groups that most often come to mind when the term "diversity" is used — but also age, national origin, religion, disability, sexual orientation, socioeconomic status, education, marital status, language, and physical appearance. It also involves different ideas, perspectives, and values.</w:t>
      </w:r>
    </w:p>
    <w:p w:rsidR="009E645A" w:rsidRPr="00DB0784" w:rsidRDefault="009E645A">
      <w:pPr>
        <w:jc w:val="both"/>
        <w:rPr>
          <w:rFonts w:cs="Times New Roman"/>
          <w:szCs w:val="24"/>
        </w:rPr>
      </w:pPr>
      <w:r w:rsidRPr="00DB0784">
        <w:rPr>
          <w:rFonts w:cs="Times New Roman"/>
          <w:b/>
          <w:szCs w:val="24"/>
        </w:rPr>
        <w:t>Racial Equity</w:t>
      </w:r>
      <w:r w:rsidRPr="00DB0784">
        <w:rPr>
          <w:rFonts w:cs="Times New Roman"/>
          <w:szCs w:val="24"/>
        </w:rPr>
        <w:t>: When social, economic and political opportunities are not predicted based upon a person’s race. R</w:t>
      </w:r>
      <w:r w:rsidRPr="00DB0784">
        <w:rPr>
          <w:rFonts w:cs="Times New Roman"/>
          <w:bCs/>
          <w:szCs w:val="24"/>
        </w:rPr>
        <w:t>ace can no longer be used to predict life</w:t>
      </w:r>
      <w:r w:rsidRPr="00DB0784">
        <w:rPr>
          <w:rFonts w:cs="Times New Roman"/>
          <w:b/>
          <w:bCs/>
          <w:szCs w:val="24"/>
        </w:rPr>
        <w:t xml:space="preserve"> </w:t>
      </w:r>
      <w:r w:rsidRPr="00DB0784">
        <w:rPr>
          <w:rFonts w:cs="Times New Roman"/>
          <w:bCs/>
          <w:szCs w:val="24"/>
        </w:rPr>
        <w:t xml:space="preserve">outcomes and </w:t>
      </w:r>
      <w:r w:rsidRPr="00DB0784">
        <w:rPr>
          <w:rFonts w:cs="Times New Roman"/>
          <w:szCs w:val="24"/>
        </w:rPr>
        <w:t xml:space="preserve">outcomes for all groups are improved. </w:t>
      </w:r>
    </w:p>
    <w:p w:rsidR="009E645A" w:rsidRPr="00DB0784" w:rsidRDefault="009E645A">
      <w:pPr>
        <w:jc w:val="both"/>
        <w:rPr>
          <w:rFonts w:cs="Times New Roman"/>
          <w:szCs w:val="24"/>
        </w:rPr>
      </w:pPr>
      <w:r w:rsidRPr="00DB0784">
        <w:rPr>
          <w:rFonts w:cs="Times New Roman"/>
          <w:b/>
          <w:szCs w:val="24"/>
        </w:rPr>
        <w:t>Racial Inequity</w:t>
      </w:r>
      <w:r w:rsidRPr="00DB0784">
        <w:rPr>
          <w:rFonts w:cs="Times New Roman"/>
          <w:szCs w:val="24"/>
        </w:rPr>
        <w:t xml:space="preserve">: When a person’s race can be used to predict life outcomes (social, economic and political), e.g., disproportionality in education (high school graduation rates), jobs (unemployment rate), criminal justice (arrest and incarceration rates), etc. </w:t>
      </w:r>
    </w:p>
    <w:p w:rsidR="009E645A" w:rsidRPr="00DB0784" w:rsidRDefault="009E645A">
      <w:pPr>
        <w:jc w:val="both"/>
        <w:rPr>
          <w:rFonts w:cs="Times New Roman"/>
          <w:szCs w:val="24"/>
        </w:rPr>
      </w:pPr>
      <w:r w:rsidRPr="00DB0784">
        <w:rPr>
          <w:rFonts w:cs="Times New Roman"/>
          <w:b/>
          <w:szCs w:val="24"/>
        </w:rPr>
        <w:t>Stakeholders</w:t>
      </w:r>
      <w:r w:rsidRPr="00DB0784">
        <w:rPr>
          <w:rFonts w:cs="Times New Roman"/>
          <w:szCs w:val="24"/>
        </w:rPr>
        <w:t xml:space="preserve">- Those impacted by proposed policy, program or budget issue who have potential concerns or issue expertise. Examples might include: specific racial/ethnic groups, other institutions, schools, community-based organizations, Change Teams, City employees, unions, etc. </w:t>
      </w:r>
    </w:p>
    <w:p w:rsidR="009E645A" w:rsidRPr="00DB0784" w:rsidRDefault="009E645A">
      <w:pPr>
        <w:jc w:val="both"/>
        <w:rPr>
          <w:rFonts w:cs="Times New Roman"/>
          <w:szCs w:val="24"/>
        </w:rPr>
      </w:pPr>
      <w:r w:rsidRPr="00DB0784">
        <w:rPr>
          <w:rFonts w:cs="Times New Roman"/>
          <w:b/>
          <w:szCs w:val="24"/>
        </w:rPr>
        <w:t>Accountable</w:t>
      </w:r>
      <w:r w:rsidRPr="00DB0784">
        <w:rPr>
          <w:rFonts w:cs="Times New Roman"/>
          <w:szCs w:val="24"/>
        </w:rPr>
        <w:t xml:space="preserve">- Responsive to the needs and concerns of those most impacted by the issues you are working on, particularly to communities of color and those historically underrepresented in the civic process. </w:t>
      </w:r>
    </w:p>
    <w:p w:rsidR="009E645A" w:rsidRPr="00DB0784" w:rsidRDefault="009E645A">
      <w:pPr>
        <w:jc w:val="both"/>
        <w:rPr>
          <w:rFonts w:cs="Times New Roman"/>
          <w:szCs w:val="24"/>
        </w:rPr>
      </w:pPr>
      <w:r w:rsidRPr="00DB0784">
        <w:rPr>
          <w:rFonts w:cs="Times New Roman"/>
          <w:b/>
          <w:szCs w:val="24"/>
        </w:rPr>
        <w:t>Contracting Equity</w:t>
      </w:r>
      <w:r w:rsidRPr="00DB0784">
        <w:rPr>
          <w:rFonts w:cs="Times New Roman"/>
          <w:szCs w:val="24"/>
        </w:rPr>
        <w:t xml:space="preserve">- Efforts to achieve equitable outcomes in the way the City spends resources, including goods and services, consultants and contracting. </w:t>
      </w:r>
    </w:p>
    <w:p w:rsidR="009E645A" w:rsidRPr="00DB0784" w:rsidRDefault="009E645A">
      <w:pPr>
        <w:jc w:val="both"/>
        <w:rPr>
          <w:rFonts w:cs="Times New Roman"/>
          <w:szCs w:val="24"/>
        </w:rPr>
      </w:pPr>
      <w:r w:rsidRPr="00DB0784">
        <w:rPr>
          <w:rFonts w:cs="Times New Roman"/>
          <w:b/>
          <w:szCs w:val="24"/>
        </w:rPr>
        <w:t>Immigrant and Refugee Access to Services</w:t>
      </w:r>
      <w:r w:rsidRPr="00DB0784">
        <w:rPr>
          <w:rFonts w:cs="Times New Roman"/>
          <w:szCs w:val="24"/>
        </w:rPr>
        <w:t xml:space="preserve">- Government services and resources are easily available and understandable to all residents, including non-native English speakers. Full and active participation of immigrant and refugee communities exists in Seattle’s civic, economic and cultural life. </w:t>
      </w:r>
    </w:p>
    <w:p w:rsidR="009E645A" w:rsidRPr="00DB0784" w:rsidRDefault="009E645A">
      <w:pPr>
        <w:jc w:val="both"/>
      </w:pPr>
      <w:proofErr w:type="gramStart"/>
      <w:r w:rsidRPr="00DB0784">
        <w:rPr>
          <w:rFonts w:cs="Times New Roman"/>
          <w:b/>
          <w:szCs w:val="24"/>
        </w:rPr>
        <w:t>Inclusive Outreach and Public Engagement</w:t>
      </w:r>
      <w:r w:rsidRPr="00DB0784">
        <w:rPr>
          <w:rFonts w:cs="Times New Roman"/>
          <w:szCs w:val="24"/>
        </w:rPr>
        <w:t>- Processes inclusive of people of diverse races, cultures, gender identities, sexual orientations and socio-economic status.</w:t>
      </w:r>
      <w:proofErr w:type="gramEnd"/>
      <w:r w:rsidRPr="00DB0784">
        <w:rPr>
          <w:rFonts w:cs="Times New Roman"/>
          <w:szCs w:val="24"/>
        </w:rPr>
        <w:t xml:space="preserve"> Access to information, resources and civic processes so community </w:t>
      </w:r>
    </w:p>
    <w:p w:rsidR="00583203" w:rsidRPr="00053A91" w:rsidRDefault="00583203">
      <w:pPr>
        <w:rPr>
          <w:rFonts w:eastAsiaTheme="majorEastAsia" w:cstheme="majorBidi"/>
          <w:color w:val="17365D" w:themeColor="text2" w:themeShade="BF"/>
          <w:spacing w:val="5"/>
          <w:kern w:val="28"/>
          <w:sz w:val="52"/>
          <w:szCs w:val="52"/>
        </w:rPr>
      </w:pPr>
      <w:r w:rsidRPr="00DB0784">
        <w:br w:type="page"/>
      </w:r>
    </w:p>
    <w:p w:rsidR="00DF1E10" w:rsidRDefault="00307656" w:rsidP="00D07819">
      <w:pPr>
        <w:pStyle w:val="Heading1"/>
        <w:spacing w:before="0"/>
        <w:jc w:val="right"/>
      </w:pPr>
      <w:r>
        <w:lastRenderedPageBreak/>
        <w:t>Appendix A</w:t>
      </w:r>
      <w:r w:rsidR="00DF1E10">
        <w:t>. 3</w:t>
      </w:r>
    </w:p>
    <w:p w:rsidR="00DF1E10" w:rsidRDefault="00DF1E10" w:rsidP="00DF1E10">
      <w:pPr>
        <w:pStyle w:val="Heading2"/>
        <w:spacing w:before="0"/>
      </w:pPr>
    </w:p>
    <w:p w:rsidR="009E645A" w:rsidRPr="00D07819" w:rsidRDefault="009E645A" w:rsidP="00D07819">
      <w:pPr>
        <w:pStyle w:val="Heading1"/>
        <w:spacing w:before="0"/>
        <w:rPr>
          <w:u w:val="single"/>
        </w:rPr>
      </w:pPr>
      <w:r w:rsidRPr="00D07819">
        <w:rPr>
          <w:u w:val="single"/>
        </w:rPr>
        <w:t>Other Organizations Efforts for Potential Partnerships and Models</w:t>
      </w:r>
    </w:p>
    <w:p w:rsidR="00DF1E10" w:rsidRPr="00DF1E10" w:rsidRDefault="00DF1E10" w:rsidP="00DF1E10">
      <w:bookmarkStart w:id="0" w:name="_GoBack"/>
      <w:bookmarkEnd w:id="0"/>
    </w:p>
    <w:p w:rsidR="00590B89" w:rsidRPr="00DF1E10" w:rsidRDefault="00590B89" w:rsidP="00DF1E10">
      <w:pPr>
        <w:pStyle w:val="Heading3"/>
      </w:pPr>
      <w:r w:rsidRPr="00DF1E10">
        <w:t>The Government Alliance on Race and Equity</w:t>
      </w:r>
    </w:p>
    <w:p w:rsidR="00590B89" w:rsidRPr="00DF1E10" w:rsidRDefault="00590B89" w:rsidP="00590B89">
      <w:pPr>
        <w:shd w:val="clear" w:color="auto" w:fill="FFFFFF"/>
        <w:spacing w:after="300" w:line="375" w:lineRule="atLeast"/>
        <w:rPr>
          <w:rFonts w:eastAsia="Times New Roman" w:cstheme="minorHAnsi"/>
          <w:color w:val="333333"/>
        </w:rPr>
      </w:pPr>
      <w:r w:rsidRPr="00DF1E10">
        <w:rPr>
          <w:rFonts w:eastAsia="Times New Roman" w:cstheme="minorHAnsi"/>
          <w:color w:val="333333"/>
        </w:rPr>
        <w:t>The Government Alliance on Race and Equity is a national network of government working to achieve racial equity and advance opportunities for all. Across the country, governmental jurisdictions are:</w:t>
      </w:r>
    </w:p>
    <w:p w:rsidR="00590B89" w:rsidRPr="00DF1E10" w:rsidRDefault="00590B89" w:rsidP="00590B89">
      <w:pPr>
        <w:numPr>
          <w:ilvl w:val="0"/>
          <w:numId w:val="34"/>
        </w:numPr>
        <w:shd w:val="clear" w:color="auto" w:fill="FFFFFF"/>
        <w:spacing w:before="100" w:beforeAutospacing="1" w:after="100" w:afterAutospacing="1" w:line="375" w:lineRule="atLeast"/>
        <w:rPr>
          <w:rFonts w:eastAsia="Times New Roman" w:cstheme="minorHAnsi"/>
          <w:color w:val="333333"/>
        </w:rPr>
      </w:pPr>
      <w:r w:rsidRPr="00DF1E10">
        <w:rPr>
          <w:rFonts w:eastAsia="Times New Roman" w:cstheme="minorHAnsi"/>
          <w:color w:val="333333"/>
        </w:rPr>
        <w:t>Making a commitment to achieving racial equity</w:t>
      </w:r>
    </w:p>
    <w:p w:rsidR="00590B89" w:rsidRPr="00DF1E10" w:rsidRDefault="00590B89" w:rsidP="00590B89">
      <w:pPr>
        <w:numPr>
          <w:ilvl w:val="0"/>
          <w:numId w:val="34"/>
        </w:numPr>
        <w:shd w:val="clear" w:color="auto" w:fill="FFFFFF"/>
        <w:spacing w:before="100" w:beforeAutospacing="1" w:after="100" w:afterAutospacing="1" w:line="375" w:lineRule="atLeast"/>
        <w:rPr>
          <w:rFonts w:eastAsia="Times New Roman" w:cstheme="minorHAnsi"/>
          <w:color w:val="333333"/>
        </w:rPr>
      </w:pPr>
      <w:r w:rsidRPr="00DF1E10">
        <w:rPr>
          <w:rFonts w:eastAsia="Times New Roman" w:cstheme="minorHAnsi"/>
          <w:color w:val="333333"/>
        </w:rPr>
        <w:t>Focusing on the power and influence of their own institutions, and</w:t>
      </w:r>
    </w:p>
    <w:p w:rsidR="00590B89" w:rsidRPr="00DF1E10" w:rsidRDefault="00590B89" w:rsidP="00590B89">
      <w:pPr>
        <w:numPr>
          <w:ilvl w:val="0"/>
          <w:numId w:val="34"/>
        </w:numPr>
        <w:shd w:val="clear" w:color="auto" w:fill="FFFFFF"/>
        <w:spacing w:before="100" w:beforeAutospacing="1" w:after="100" w:afterAutospacing="1" w:line="375" w:lineRule="atLeast"/>
        <w:rPr>
          <w:rFonts w:eastAsia="Times New Roman" w:cstheme="minorHAnsi"/>
          <w:color w:val="333333"/>
        </w:rPr>
      </w:pPr>
      <w:r w:rsidRPr="00DF1E10">
        <w:rPr>
          <w:rFonts w:eastAsia="Times New Roman" w:cstheme="minorHAnsi"/>
          <w:color w:val="333333"/>
        </w:rPr>
        <w:t>Working in partnership with others</w:t>
      </w:r>
    </w:p>
    <w:p w:rsidR="00590B89" w:rsidRPr="00DF1E10" w:rsidRDefault="00590B89" w:rsidP="00590B89">
      <w:pPr>
        <w:shd w:val="clear" w:color="auto" w:fill="FFFFFF"/>
        <w:spacing w:after="300" w:line="375" w:lineRule="atLeast"/>
        <w:rPr>
          <w:rFonts w:eastAsia="Times New Roman" w:cstheme="minorHAnsi"/>
          <w:color w:val="333333"/>
        </w:rPr>
      </w:pPr>
      <w:r w:rsidRPr="00DF1E10">
        <w:rPr>
          <w:rFonts w:eastAsia="Times New Roman" w:cstheme="minorHAnsi"/>
          <w:color w:val="333333"/>
        </w:rPr>
        <w:t>When this occurs, significant leverage and expansion opportunities emerge, setting the stage for the achievement of racial equity in our communities.</w:t>
      </w:r>
    </w:p>
    <w:p w:rsidR="00590B89" w:rsidRPr="00DF1E10" w:rsidRDefault="00590B89" w:rsidP="00590B89">
      <w:pPr>
        <w:shd w:val="clear" w:color="auto" w:fill="FFFFFF"/>
        <w:spacing w:after="300" w:line="375" w:lineRule="atLeast"/>
        <w:rPr>
          <w:rFonts w:eastAsia="Times New Roman" w:cstheme="minorHAnsi"/>
          <w:color w:val="333333"/>
        </w:rPr>
      </w:pPr>
      <w:r w:rsidRPr="00DF1E10">
        <w:rPr>
          <w:rFonts w:eastAsia="Times New Roman" w:cstheme="minorHAnsi"/>
          <w:color w:val="333333"/>
        </w:rPr>
        <w:t>The Alliance provides a multi-layered approach for maximum impact:</w:t>
      </w:r>
    </w:p>
    <w:p w:rsidR="00590B89" w:rsidRPr="00DF1E10" w:rsidRDefault="00590B89" w:rsidP="00590B89">
      <w:pPr>
        <w:numPr>
          <w:ilvl w:val="0"/>
          <w:numId w:val="35"/>
        </w:numPr>
        <w:shd w:val="clear" w:color="auto" w:fill="FFFFFF"/>
        <w:spacing w:before="100" w:beforeAutospacing="1" w:after="100" w:afterAutospacing="1" w:line="375" w:lineRule="atLeast"/>
        <w:rPr>
          <w:rFonts w:eastAsia="Times New Roman" w:cstheme="minorHAnsi"/>
          <w:color w:val="333333"/>
        </w:rPr>
      </w:pPr>
      <w:r w:rsidRPr="00DF1E10">
        <w:rPr>
          <w:rFonts w:eastAsia="Times New Roman" w:cstheme="minorHAnsi"/>
          <w:b/>
          <w:bCs/>
          <w:i/>
          <w:iCs/>
          <w:color w:val="333333"/>
        </w:rPr>
        <w:t>We support a cohort of jurisdictions that are at the forefront of work to achieve racial equity.</w:t>
      </w:r>
      <w:r w:rsidRPr="00DF1E10">
        <w:rPr>
          <w:rFonts w:eastAsia="Times New Roman" w:cstheme="minorHAnsi"/>
          <w:color w:val="333333"/>
        </w:rPr>
        <w:t> A few jurisdictions have already done substantive work and are poised to be a model for others. Supporting a targeted cohort of jurisdictions and providing best practices, tools and resources is helping to build and sustain current efforts and build a national movement for racial equity.</w:t>
      </w:r>
    </w:p>
    <w:p w:rsidR="00590B89" w:rsidRPr="00DF1E10" w:rsidRDefault="00590B89" w:rsidP="00590B89">
      <w:pPr>
        <w:numPr>
          <w:ilvl w:val="0"/>
          <w:numId w:val="36"/>
        </w:numPr>
        <w:shd w:val="clear" w:color="auto" w:fill="FFFFFF"/>
        <w:spacing w:before="100" w:beforeAutospacing="1" w:after="100" w:afterAutospacing="1" w:line="375" w:lineRule="atLeast"/>
        <w:rPr>
          <w:rFonts w:eastAsia="Times New Roman" w:cstheme="minorHAnsi"/>
          <w:color w:val="333333"/>
        </w:rPr>
      </w:pPr>
      <w:r w:rsidRPr="00DF1E10">
        <w:rPr>
          <w:rFonts w:eastAsia="Times New Roman" w:cstheme="minorHAnsi"/>
          <w:b/>
          <w:bCs/>
          <w:i/>
          <w:iCs/>
          <w:color w:val="333333"/>
        </w:rPr>
        <w:t>We develop a “pathway for entry” into racial equity work for new jurisdictions from across the country.</w:t>
      </w:r>
      <w:r w:rsidRPr="00DF1E10">
        <w:rPr>
          <w:rFonts w:eastAsia="Times New Roman" w:cstheme="minorHAnsi"/>
          <w:color w:val="333333"/>
        </w:rPr>
        <w:t> Many jurisdictions lack the leadership and/or infrastructure to address issues of racial inequity. Using the learnings and resources from the cohort will create pathways for increased engagement and expansion of the Alliance.</w:t>
      </w:r>
    </w:p>
    <w:p w:rsidR="00590B89" w:rsidRPr="00DF1E10" w:rsidRDefault="00590B89" w:rsidP="00590B89">
      <w:pPr>
        <w:numPr>
          <w:ilvl w:val="0"/>
          <w:numId w:val="37"/>
        </w:numPr>
        <w:shd w:val="clear" w:color="auto" w:fill="FFFFFF"/>
        <w:spacing w:before="100" w:beforeAutospacing="1" w:after="100" w:afterAutospacing="1" w:line="375" w:lineRule="atLeast"/>
        <w:rPr>
          <w:rFonts w:eastAsia="Times New Roman" w:cstheme="minorHAnsi"/>
          <w:color w:val="333333"/>
        </w:rPr>
      </w:pPr>
      <w:r w:rsidRPr="00DF1E10">
        <w:rPr>
          <w:rFonts w:eastAsia="Times New Roman" w:cstheme="minorHAnsi"/>
          <w:b/>
          <w:bCs/>
          <w:i/>
          <w:iCs/>
          <w:color w:val="333333"/>
        </w:rPr>
        <w:t>We support and build local and regional collaborations that are broadly inclusive and focused on achieving racial equity.</w:t>
      </w:r>
      <w:r w:rsidRPr="00DF1E10">
        <w:rPr>
          <w:rFonts w:eastAsia="Times New Roman" w:cstheme="minorHAnsi"/>
          <w:color w:val="333333"/>
        </w:rPr>
        <w:t> To eliminate racial inequities in our communities, developing a “collective impact” approach firmly grounded in inclusion and equity is necessary. Government can play a key role in collaborations for achieving racial equity, centering community and leveraging institutional partnerships.</w:t>
      </w:r>
    </w:p>
    <w:p w:rsidR="00590B89" w:rsidRDefault="00590B89" w:rsidP="00053A91">
      <w:pPr>
        <w:pStyle w:val="Heading3"/>
      </w:pPr>
    </w:p>
    <w:p w:rsidR="009E645A" w:rsidRPr="00953A6C" w:rsidRDefault="00480B5B" w:rsidP="00053A91">
      <w:pPr>
        <w:pStyle w:val="Heading3"/>
      </w:pPr>
      <w:r>
        <w:br/>
      </w:r>
      <w:r w:rsidR="009E645A" w:rsidRPr="00953A6C">
        <w:t>National League of Cities -</w:t>
      </w:r>
    </w:p>
    <w:p w:rsidR="00590B89" w:rsidRDefault="00590B89" w:rsidP="00953A6C">
      <w:pPr>
        <w:jc w:val="both"/>
        <w:rPr>
          <w:rFonts w:cs="Times New Roman"/>
        </w:rPr>
      </w:pPr>
    </w:p>
    <w:p w:rsidR="00590B89" w:rsidRDefault="00307656" w:rsidP="00590B89">
      <w:pPr>
        <w:rPr>
          <w:sz w:val="24"/>
          <w:szCs w:val="24"/>
        </w:rPr>
      </w:pPr>
      <w:hyperlink r:id="rId13" w:history="1">
        <w:r w:rsidR="00590B89">
          <w:rPr>
            <w:rStyle w:val="Hyperlink"/>
            <w:b/>
            <w:bCs/>
            <w:i/>
            <w:iCs/>
            <w:sz w:val="24"/>
            <w:szCs w:val="24"/>
          </w:rPr>
          <w:t xml:space="preserve">NLC’s Race, Equity </w:t>
        </w:r>
        <w:proofErr w:type="gramStart"/>
        <w:r w:rsidR="00590B89">
          <w:rPr>
            <w:rStyle w:val="Hyperlink"/>
            <w:b/>
            <w:bCs/>
            <w:i/>
            <w:iCs/>
            <w:sz w:val="24"/>
            <w:szCs w:val="24"/>
          </w:rPr>
          <w:t>And</w:t>
        </w:r>
        <w:proofErr w:type="gramEnd"/>
        <w:r w:rsidR="00590B89">
          <w:rPr>
            <w:rStyle w:val="Hyperlink"/>
            <w:b/>
            <w:bCs/>
            <w:i/>
            <w:iCs/>
            <w:sz w:val="24"/>
            <w:szCs w:val="24"/>
          </w:rPr>
          <w:t xml:space="preserve"> Leadership</w:t>
        </w:r>
        <w:r w:rsidR="00590B89">
          <w:rPr>
            <w:rStyle w:val="Hyperlink"/>
            <w:sz w:val="24"/>
            <w:szCs w:val="24"/>
          </w:rPr>
          <w:t xml:space="preserve"> </w:t>
        </w:r>
        <w:r w:rsidR="00590B89">
          <w:rPr>
            <w:rStyle w:val="Hyperlink"/>
            <w:b/>
            <w:bCs/>
            <w:i/>
            <w:iCs/>
            <w:sz w:val="24"/>
            <w:szCs w:val="24"/>
          </w:rPr>
          <w:t>(REAL)</w:t>
        </w:r>
      </w:hyperlink>
      <w:r w:rsidR="00590B89">
        <w:rPr>
          <w:sz w:val="24"/>
          <w:szCs w:val="24"/>
        </w:rPr>
        <w:t xml:space="preserve"> initiative seeks to equip local officials with effective tools to address the historical, systemic and structural barriers caused by racism and inequities.  The discussion at the event </w:t>
      </w:r>
      <w:r w:rsidR="00590B89">
        <w:rPr>
          <w:sz w:val="24"/>
          <w:szCs w:val="24"/>
        </w:rPr>
        <w:lastRenderedPageBreak/>
        <w:t xml:space="preserve">last week demonstrated NLC’s commitment to use the REAL initiative to strengthen the leadership capacity of local elected officials in addressing the impact of race and equity issues in their communities.  </w:t>
      </w:r>
    </w:p>
    <w:p w:rsidR="009E645A" w:rsidRPr="00953A6C" w:rsidRDefault="009E645A" w:rsidP="00953A6C">
      <w:pPr>
        <w:jc w:val="both"/>
        <w:rPr>
          <w:rFonts w:cs="Times New Roman"/>
        </w:rPr>
      </w:pPr>
      <w:r w:rsidRPr="00953A6C">
        <w:rPr>
          <w:rFonts w:cs="Times New Roman"/>
        </w:rPr>
        <w:t>Human Development  --The Human Development Committee is responsible for developing policy positions on issues involving social services, children and learning, poverty and income support, employment and workforce development, equal opportunity, Social Security and seniors, individuals with disabilities, public health care, mental health parity, and immigration reform.</w:t>
      </w:r>
    </w:p>
    <w:p w:rsidR="009E645A" w:rsidRPr="00953A6C" w:rsidRDefault="009E645A" w:rsidP="00953A6C">
      <w:pPr>
        <w:autoSpaceDE w:val="0"/>
        <w:autoSpaceDN w:val="0"/>
        <w:adjustRightInd w:val="0"/>
        <w:spacing w:line="23" w:lineRule="atLeast"/>
        <w:jc w:val="both"/>
        <w:rPr>
          <w:rFonts w:cs="Times New Roman"/>
        </w:rPr>
      </w:pPr>
      <w:r w:rsidRPr="00953A6C">
        <w:rPr>
          <w:rFonts w:cs="Times New Roman"/>
        </w:rPr>
        <w:t>NLC believes that the federal government should uphold fundamental principles of equality and the rule of law, and address, by enforcing the laws, acts of bias, bigotry and racism. To ensure equal opportunity for all, the federal government should:</w:t>
      </w:r>
    </w:p>
    <w:p w:rsidR="009E645A" w:rsidRPr="00953A6C" w:rsidRDefault="009E645A" w:rsidP="00953A6C">
      <w:pPr>
        <w:pStyle w:val="ListParagraph"/>
        <w:numPr>
          <w:ilvl w:val="0"/>
          <w:numId w:val="27"/>
        </w:numPr>
        <w:autoSpaceDE w:val="0"/>
        <w:autoSpaceDN w:val="0"/>
        <w:adjustRightInd w:val="0"/>
        <w:spacing w:line="23" w:lineRule="atLeast"/>
        <w:jc w:val="both"/>
        <w:rPr>
          <w:rFonts w:cs="Times New Roman"/>
        </w:rPr>
      </w:pPr>
      <w:r w:rsidRPr="00953A6C">
        <w:rPr>
          <w:rFonts w:cs="Times New Roman"/>
        </w:rPr>
        <w:t>Enforce civil rights laws and eliminate discrimination with regard to race, color, religion, national origin, age, sex, sexual orientation or any social barriers or physical disadvantage;</w:t>
      </w:r>
    </w:p>
    <w:p w:rsidR="009E645A" w:rsidRPr="00953A6C" w:rsidRDefault="009E645A" w:rsidP="00953A6C">
      <w:pPr>
        <w:pStyle w:val="ListParagraph"/>
        <w:numPr>
          <w:ilvl w:val="0"/>
          <w:numId w:val="27"/>
        </w:numPr>
        <w:autoSpaceDE w:val="0"/>
        <w:autoSpaceDN w:val="0"/>
        <w:adjustRightInd w:val="0"/>
        <w:spacing w:line="23" w:lineRule="atLeast"/>
        <w:jc w:val="both"/>
        <w:rPr>
          <w:rFonts w:cs="Times New Roman"/>
        </w:rPr>
      </w:pPr>
      <w:r w:rsidRPr="00953A6C">
        <w:rPr>
          <w:rFonts w:cs="Times New Roman"/>
        </w:rPr>
        <w:t>Promote and encourage efforts in employment, delivery of services, and health care to ensure that every person is considered only with regard to individual need or merit; and</w:t>
      </w:r>
    </w:p>
    <w:p w:rsidR="009E645A" w:rsidRPr="00953A6C" w:rsidRDefault="009E645A" w:rsidP="00953A6C">
      <w:pPr>
        <w:pStyle w:val="ListParagraph"/>
        <w:numPr>
          <w:ilvl w:val="0"/>
          <w:numId w:val="27"/>
        </w:numPr>
        <w:autoSpaceDE w:val="0"/>
        <w:autoSpaceDN w:val="0"/>
        <w:adjustRightInd w:val="0"/>
        <w:spacing w:line="23" w:lineRule="atLeast"/>
        <w:jc w:val="both"/>
        <w:rPr>
          <w:rFonts w:cs="Times New Roman"/>
        </w:rPr>
      </w:pPr>
      <w:r w:rsidRPr="00953A6C">
        <w:rPr>
          <w:rFonts w:cs="Times New Roman"/>
        </w:rPr>
        <w:t>Take current action to remedy past discrimination.</w:t>
      </w:r>
    </w:p>
    <w:p w:rsidR="009E645A" w:rsidRPr="00953A6C" w:rsidRDefault="009E645A" w:rsidP="00953A6C">
      <w:pPr>
        <w:pStyle w:val="ListParagraph"/>
        <w:numPr>
          <w:ilvl w:val="0"/>
          <w:numId w:val="27"/>
        </w:numPr>
        <w:autoSpaceDE w:val="0"/>
        <w:autoSpaceDN w:val="0"/>
        <w:adjustRightInd w:val="0"/>
        <w:spacing w:line="23" w:lineRule="atLeast"/>
        <w:jc w:val="both"/>
        <w:rPr>
          <w:rFonts w:cs="Times New Roman"/>
        </w:rPr>
      </w:pPr>
      <w:r w:rsidRPr="00953A6C">
        <w:rPr>
          <w:rFonts w:cs="Times New Roman"/>
        </w:rPr>
        <w:t>Develop and disseminate legal standards that will provide clear guidance on the use of mechanisms to address present or past racial discrimination;</w:t>
      </w:r>
    </w:p>
    <w:p w:rsidR="009E645A" w:rsidRPr="00953A6C" w:rsidRDefault="009E645A" w:rsidP="00953A6C">
      <w:pPr>
        <w:pStyle w:val="ListParagraph"/>
        <w:numPr>
          <w:ilvl w:val="0"/>
          <w:numId w:val="27"/>
        </w:numPr>
        <w:autoSpaceDE w:val="0"/>
        <w:autoSpaceDN w:val="0"/>
        <w:adjustRightInd w:val="0"/>
        <w:spacing w:line="23" w:lineRule="atLeast"/>
        <w:jc w:val="both"/>
        <w:rPr>
          <w:rFonts w:cs="Times New Roman"/>
        </w:rPr>
      </w:pPr>
      <w:r w:rsidRPr="00953A6C">
        <w:rPr>
          <w:rFonts w:cs="Times New Roman"/>
        </w:rPr>
        <w:t>Promote diversity;</w:t>
      </w:r>
    </w:p>
    <w:p w:rsidR="009E645A" w:rsidRPr="00953A6C" w:rsidRDefault="009E645A" w:rsidP="00953A6C">
      <w:pPr>
        <w:pStyle w:val="ListParagraph"/>
        <w:numPr>
          <w:ilvl w:val="0"/>
          <w:numId w:val="27"/>
        </w:numPr>
        <w:autoSpaceDE w:val="0"/>
        <w:autoSpaceDN w:val="0"/>
        <w:adjustRightInd w:val="0"/>
        <w:spacing w:line="23" w:lineRule="atLeast"/>
        <w:jc w:val="both"/>
        <w:rPr>
          <w:rFonts w:cs="Times New Roman"/>
        </w:rPr>
      </w:pPr>
      <w:r w:rsidRPr="00953A6C">
        <w:rPr>
          <w:rFonts w:cs="Times New Roman"/>
        </w:rPr>
        <w:t>Provide all employers with information on how to adopt and carry out effective affirmative action programs; and</w:t>
      </w:r>
    </w:p>
    <w:p w:rsidR="009E645A" w:rsidRPr="00953A6C" w:rsidRDefault="009E645A" w:rsidP="00953A6C">
      <w:pPr>
        <w:pStyle w:val="ListParagraph"/>
        <w:numPr>
          <w:ilvl w:val="0"/>
          <w:numId w:val="27"/>
        </w:numPr>
        <w:autoSpaceDE w:val="0"/>
        <w:autoSpaceDN w:val="0"/>
        <w:adjustRightInd w:val="0"/>
        <w:spacing w:line="23" w:lineRule="atLeast"/>
        <w:jc w:val="both"/>
        <w:rPr>
          <w:rFonts w:cs="Times New Roman"/>
        </w:rPr>
      </w:pPr>
      <w:r w:rsidRPr="00953A6C">
        <w:rPr>
          <w:rFonts w:cs="Times New Roman"/>
        </w:rPr>
        <w:t>Expand opportunities in federal and local procurement for people of color, women, and individuals with disabilities.</w:t>
      </w:r>
    </w:p>
    <w:p w:rsidR="009E645A" w:rsidRPr="00953A6C" w:rsidRDefault="009E645A" w:rsidP="00953A6C">
      <w:pPr>
        <w:spacing w:line="23" w:lineRule="atLeast"/>
        <w:jc w:val="both"/>
        <w:rPr>
          <w:rFonts w:cs="Times New Roman"/>
        </w:rPr>
      </w:pPr>
      <w:r w:rsidRPr="00953A6C">
        <w:rPr>
          <w:rFonts w:cs="Times New Roman"/>
        </w:rPr>
        <w:br/>
        <w:t>A core principle of NLC’s strategic plan is to be:  Inclusive - nonpartisan, embracing diverse views, modeling civility, providing "many doors" into NLC.</w:t>
      </w:r>
    </w:p>
    <w:p w:rsidR="009E645A" w:rsidRPr="00953A6C" w:rsidRDefault="009E645A" w:rsidP="00953A6C">
      <w:pPr>
        <w:spacing w:line="23" w:lineRule="atLeast"/>
        <w:jc w:val="both"/>
        <w:rPr>
          <w:rFonts w:cs="Times New Roman"/>
        </w:rPr>
      </w:pPr>
      <w:r w:rsidRPr="00953A6C">
        <w:rPr>
          <w:rFonts w:cs="Times New Roman"/>
        </w:rPr>
        <w:t xml:space="preserve">NLC provides curriculum in four areas:  Leadership, Management, Engagement and Issue Expertise.  </w:t>
      </w:r>
    </w:p>
    <w:p w:rsidR="009E645A" w:rsidRPr="00953A6C" w:rsidRDefault="009E645A" w:rsidP="00053A91">
      <w:pPr>
        <w:pStyle w:val="Heading3"/>
      </w:pPr>
      <w:r w:rsidRPr="00953A6C">
        <w:t>International Hispanic Network</w:t>
      </w:r>
    </w:p>
    <w:p w:rsidR="009E645A" w:rsidRPr="00953A6C" w:rsidRDefault="009E645A" w:rsidP="00953A6C">
      <w:pPr>
        <w:jc w:val="both"/>
        <w:rPr>
          <w:rFonts w:cs="Times New Roman"/>
          <w:sz w:val="24"/>
        </w:rPr>
      </w:pPr>
      <w:r w:rsidRPr="00953A6C">
        <w:rPr>
          <w:rFonts w:cs="Times New Roman"/>
          <w:sz w:val="24"/>
        </w:rPr>
        <w:t>http://ihnonline.org/</w:t>
      </w:r>
    </w:p>
    <w:p w:rsidR="009E645A" w:rsidRPr="00953A6C" w:rsidRDefault="009E645A" w:rsidP="00953A6C">
      <w:pPr>
        <w:jc w:val="both"/>
        <w:rPr>
          <w:rFonts w:cs="Times New Roman"/>
        </w:rPr>
      </w:pPr>
      <w:r w:rsidRPr="00953A6C">
        <w:rPr>
          <w:rFonts w:cs="Times New Roman"/>
        </w:rPr>
        <w:t xml:space="preserve">IHN has provided the following programming to discuss inclusivity in the profession at a regional seminar in October 2014. </w:t>
      </w:r>
    </w:p>
    <w:p w:rsidR="009E645A" w:rsidRPr="00953A6C" w:rsidRDefault="009E645A" w:rsidP="00953A6C">
      <w:pPr>
        <w:ind w:left="720"/>
        <w:jc w:val="both"/>
        <w:rPr>
          <w:rFonts w:cs="Times New Roman"/>
        </w:rPr>
      </w:pPr>
      <w:r w:rsidRPr="00953A6C">
        <w:rPr>
          <w:rFonts w:cs="Times New Roman"/>
        </w:rPr>
        <w:t xml:space="preserve">Encourage professional excellence among local government administrators, to improve the management of local government, to provide unique resources to local government executives and public managers, and to advance the goals of professional, effective and ethical local government administration. The seminar will bring awareness of IHN to government professionals in </w:t>
      </w:r>
      <w:proofErr w:type="gramStart"/>
      <w:r w:rsidRPr="00953A6C">
        <w:rPr>
          <w:rFonts w:cs="Times New Roman"/>
        </w:rPr>
        <w:t>Colorado,</w:t>
      </w:r>
      <w:proofErr w:type="gramEnd"/>
      <w:r w:rsidRPr="00953A6C">
        <w:rPr>
          <w:rFonts w:cs="Times New Roman"/>
        </w:rPr>
        <w:t xml:space="preserve"> provide information on programs &amp; opportunities that would allow for an organization to play an effective role in developing employees of the workplace for tomorrow’s workforce. The seminar will also discuss the role the public sector plays in assisting in building a more Inclusive society in today’s rapidly changing culture. </w:t>
      </w:r>
      <w:hyperlink r:id="rId14" w:history="1">
        <w:r w:rsidRPr="00953A6C">
          <w:rPr>
            <w:rStyle w:val="Hyperlink"/>
            <w:rFonts w:cs="Times New Roman"/>
          </w:rPr>
          <w:t>http://ihnonline.org/resources/seminars-conference/</w:t>
        </w:r>
      </w:hyperlink>
      <w:r w:rsidRPr="00953A6C">
        <w:rPr>
          <w:rFonts w:cs="Times New Roman"/>
        </w:rPr>
        <w:t xml:space="preserve">   </w:t>
      </w:r>
    </w:p>
    <w:p w:rsidR="009E645A" w:rsidRPr="00953A6C" w:rsidRDefault="009E645A" w:rsidP="00953A6C">
      <w:pPr>
        <w:jc w:val="both"/>
        <w:rPr>
          <w:rFonts w:cs="Times New Roman"/>
        </w:rPr>
      </w:pPr>
      <w:r w:rsidRPr="00953A6C">
        <w:rPr>
          <w:rFonts w:cs="Times New Roman"/>
        </w:rPr>
        <w:t xml:space="preserve">The website does not list this as a priority per say, there are references to a variety of inclusive initiatives as part of its Municipal Best Practices reference materials.  </w:t>
      </w:r>
    </w:p>
    <w:p w:rsidR="009E645A" w:rsidRPr="00953A6C" w:rsidRDefault="009E645A" w:rsidP="00053A91">
      <w:pPr>
        <w:pStyle w:val="Heading3"/>
      </w:pPr>
      <w:r w:rsidRPr="00953A6C">
        <w:t>National Parks and Recreation Association</w:t>
      </w:r>
    </w:p>
    <w:p w:rsidR="009E645A" w:rsidRPr="00953A6C" w:rsidRDefault="009E645A" w:rsidP="00953A6C">
      <w:pPr>
        <w:jc w:val="both"/>
        <w:rPr>
          <w:rFonts w:cs="Times New Roman"/>
        </w:rPr>
      </w:pPr>
      <w:r w:rsidRPr="00953A6C">
        <w:rPr>
          <w:rFonts w:cs="Times New Roman"/>
        </w:rPr>
        <w:t xml:space="preserve">The NPRA has a major initiative to ensure all people have access to the benefits of local parks and recreation.  Their philosophy is one of social equity.  </w:t>
      </w:r>
    </w:p>
    <w:p w:rsidR="009E645A" w:rsidRPr="00953A6C" w:rsidRDefault="009E645A" w:rsidP="00953A6C">
      <w:pPr>
        <w:spacing w:before="100" w:beforeAutospacing="1" w:after="100" w:afterAutospacing="1"/>
        <w:ind w:left="720"/>
        <w:jc w:val="both"/>
        <w:rPr>
          <w:rFonts w:eastAsia="Times New Roman" w:cs="Times New Roman"/>
        </w:rPr>
      </w:pPr>
      <w:r w:rsidRPr="00953A6C">
        <w:rPr>
          <w:rFonts w:eastAsia="Times New Roman" w:cs="Times New Roman"/>
        </w:rPr>
        <w:lastRenderedPageBreak/>
        <w:t>Our nation’s public parks and recreation services should be equally accessible and available to all people regardless of income level, ethnicity, gender, ability, or age. Public parks, recreation services and recreation programs including the maintenance, safety, and accessibility of parks and facilities, should be provided on an equitable basis to all citizens of communities served by public agencies. Social equity is a critical responsibility borne by every public park and recreation agency and the professionals that operate them. It is a right, not just a privilege, for people nationwide to have safe healthful access to parks and recreation.</w:t>
      </w:r>
    </w:p>
    <w:p w:rsidR="009E645A" w:rsidRPr="00953A6C" w:rsidRDefault="009E645A" w:rsidP="00953A6C">
      <w:pPr>
        <w:spacing w:before="100" w:beforeAutospacing="1" w:after="100" w:afterAutospacing="1"/>
        <w:ind w:left="720"/>
        <w:jc w:val="both"/>
        <w:rPr>
          <w:rFonts w:eastAsia="Times New Roman" w:cs="Times New Roman"/>
        </w:rPr>
      </w:pPr>
      <w:r w:rsidRPr="00953A6C">
        <w:rPr>
          <w:rFonts w:eastAsia="Times New Roman" w:cs="Times New Roman"/>
        </w:rPr>
        <w:t>The National Recreation and Park Association (NRPA) believes park and recreation agencies, through the provision of equal access to parks and recreation, should cultivate community ties through programs and services for all which produces public benefits by connecting people more deeply to the fabric of the community. This sense of connectedness makes communities livable and desirable.</w:t>
      </w:r>
    </w:p>
    <w:p w:rsidR="009E645A" w:rsidRPr="00953A6C" w:rsidRDefault="009E645A" w:rsidP="00953A6C">
      <w:pPr>
        <w:spacing w:before="100" w:beforeAutospacing="1" w:after="100" w:afterAutospacing="1"/>
        <w:ind w:left="720"/>
        <w:jc w:val="both"/>
        <w:rPr>
          <w:rFonts w:eastAsia="Times New Roman" w:cs="Times New Roman"/>
        </w:rPr>
      </w:pPr>
      <w:r w:rsidRPr="00953A6C">
        <w:rPr>
          <w:rFonts w:eastAsia="Times New Roman" w:cs="Times New Roman"/>
        </w:rPr>
        <w:t>The benefits of social equity and universal access to public parks and recreation are many, including:</w:t>
      </w:r>
    </w:p>
    <w:p w:rsidR="009E645A" w:rsidRPr="00953A6C" w:rsidRDefault="009E645A" w:rsidP="00953A6C">
      <w:pPr>
        <w:numPr>
          <w:ilvl w:val="0"/>
          <w:numId w:val="28"/>
        </w:numPr>
        <w:spacing w:before="100" w:beforeAutospacing="1" w:after="100" w:afterAutospacing="1"/>
        <w:jc w:val="both"/>
        <w:rPr>
          <w:rFonts w:eastAsia="Times New Roman" w:cs="Times New Roman"/>
        </w:rPr>
      </w:pPr>
      <w:r w:rsidRPr="00953A6C">
        <w:rPr>
          <w:rFonts w:eastAsia="Times New Roman" w:cs="Times New Roman"/>
        </w:rPr>
        <w:t>Public enjoyment and engagement. Where parks and open space are plentiful and recreation services strong, residents enjoy the closest attachment and engagement within their communities; and studies indicate higher levels of local gross domestic product and economic well</w:t>
      </w:r>
      <w:r w:rsidRPr="00953A6C">
        <w:rPr>
          <w:rFonts w:eastAsia="Times New Roman" w:cs="Cambria Math"/>
        </w:rPr>
        <w:t>‐</w:t>
      </w:r>
      <w:r w:rsidRPr="00953A6C">
        <w:rPr>
          <w:rFonts w:eastAsia="Times New Roman" w:cs="Times New Roman"/>
        </w:rPr>
        <w:t>being;</w:t>
      </w:r>
    </w:p>
    <w:p w:rsidR="009E645A" w:rsidRPr="00953A6C" w:rsidRDefault="009E645A" w:rsidP="00953A6C">
      <w:pPr>
        <w:numPr>
          <w:ilvl w:val="0"/>
          <w:numId w:val="28"/>
        </w:numPr>
        <w:spacing w:before="100" w:beforeAutospacing="1" w:after="100" w:afterAutospacing="1"/>
        <w:jc w:val="both"/>
        <w:rPr>
          <w:rFonts w:eastAsia="Times New Roman" w:cs="Times New Roman"/>
        </w:rPr>
      </w:pPr>
      <w:r w:rsidRPr="00953A6C">
        <w:rPr>
          <w:rFonts w:eastAsia="Times New Roman" w:cs="Times New Roman"/>
        </w:rPr>
        <w:t>Quality recreation time with family and friends. Parks and recreation services provide a space and a reason to partake in enjoying quality time, relaxation, and fun among family members and friends, thus strengthening the social and familial bonds that provide balance and satisfaction in life;</w:t>
      </w:r>
    </w:p>
    <w:p w:rsidR="009E645A" w:rsidRPr="00953A6C" w:rsidRDefault="009E645A" w:rsidP="00953A6C">
      <w:pPr>
        <w:numPr>
          <w:ilvl w:val="0"/>
          <w:numId w:val="28"/>
        </w:numPr>
        <w:spacing w:before="100" w:beforeAutospacing="1" w:after="100" w:afterAutospacing="1"/>
        <w:jc w:val="both"/>
        <w:rPr>
          <w:rFonts w:eastAsia="Times New Roman" w:cs="Times New Roman"/>
        </w:rPr>
      </w:pPr>
      <w:r w:rsidRPr="00953A6C">
        <w:rPr>
          <w:rFonts w:eastAsia="Times New Roman" w:cs="Times New Roman"/>
        </w:rPr>
        <w:t>Improvement of mental and physical health. Parks and recreation can reduce the impacts of chronic diseases, especially in such vulnerable populations as children, seniors, and the underserved; and</w:t>
      </w:r>
    </w:p>
    <w:p w:rsidR="009E645A" w:rsidRPr="00953A6C" w:rsidRDefault="009E645A" w:rsidP="00953A6C">
      <w:pPr>
        <w:numPr>
          <w:ilvl w:val="0"/>
          <w:numId w:val="28"/>
        </w:numPr>
        <w:spacing w:before="100" w:beforeAutospacing="1" w:after="100" w:afterAutospacing="1"/>
        <w:jc w:val="both"/>
        <w:rPr>
          <w:rFonts w:eastAsia="Times New Roman" w:cs="Times New Roman"/>
        </w:rPr>
      </w:pPr>
      <w:r w:rsidRPr="00953A6C">
        <w:rPr>
          <w:rFonts w:eastAsia="Times New Roman" w:cs="Times New Roman"/>
        </w:rPr>
        <w:t>Measurable decreases in rates of crime and other detrimental activities. Communities are safer as a result of a wholesome atmosphere created by well</w:t>
      </w:r>
      <w:r w:rsidRPr="00953A6C">
        <w:rPr>
          <w:rFonts w:eastAsia="Times New Roman" w:cs="Cambria Math"/>
        </w:rPr>
        <w:t>‐</w:t>
      </w:r>
      <w:r w:rsidRPr="00953A6C">
        <w:rPr>
          <w:rFonts w:eastAsia="Times New Roman" w:cs="Times New Roman"/>
        </w:rPr>
        <w:t>managed parks and recreation services in communities through healthy activities and programming for all people.</w:t>
      </w:r>
    </w:p>
    <w:p w:rsidR="009E645A" w:rsidRPr="00953A6C" w:rsidRDefault="009E645A" w:rsidP="00953A6C">
      <w:pPr>
        <w:spacing w:before="100" w:beforeAutospacing="1" w:after="100" w:afterAutospacing="1"/>
        <w:ind w:left="720"/>
        <w:jc w:val="both"/>
        <w:rPr>
          <w:rFonts w:eastAsia="Times New Roman" w:cs="Times New Roman"/>
        </w:rPr>
      </w:pPr>
      <w:r w:rsidRPr="00953A6C">
        <w:rPr>
          <w:rFonts w:eastAsia="Times New Roman" w:cs="Times New Roman"/>
        </w:rPr>
        <w:t xml:space="preserve">NRPA encourages initiatives that increase social equity in state and </w:t>
      </w:r>
      <w:proofErr w:type="gramStart"/>
      <w:r w:rsidRPr="00953A6C">
        <w:rPr>
          <w:rFonts w:eastAsia="Times New Roman" w:cs="Times New Roman"/>
        </w:rPr>
        <w:t>local park</w:t>
      </w:r>
      <w:proofErr w:type="gramEnd"/>
      <w:r w:rsidRPr="00953A6C">
        <w:rPr>
          <w:rFonts w:eastAsia="Times New Roman" w:cs="Times New Roman"/>
        </w:rPr>
        <w:t xml:space="preserve"> and recreation agencies and their communities. NRPA works to achieve these outcomes through legislative and advocacy efforts, research and knowledge sharing, and providing practical tools to public park and recreation agencies across the country.</w:t>
      </w:r>
    </w:p>
    <w:p w:rsidR="000D06DA" w:rsidRPr="00953A6C" w:rsidRDefault="009E645A" w:rsidP="00953A6C">
      <w:pPr>
        <w:jc w:val="both"/>
      </w:pPr>
      <w:r w:rsidRPr="00953A6C">
        <w:rPr>
          <w:rFonts w:eastAsia="Times New Roman" w:cs="Times New Roman"/>
        </w:rPr>
        <w:t>Upholding social equity is one of the core means of assuring the value of parks and recreation for future generations.</w:t>
      </w:r>
    </w:p>
    <w:sectPr w:rsidR="000D06DA" w:rsidRPr="00953A6C" w:rsidSect="00DF1E10">
      <w:footerReference w:type="default" r:id="rId15"/>
      <w:pgSz w:w="12240" w:h="15840"/>
      <w:pgMar w:top="720" w:right="720" w:bottom="720" w:left="720" w:header="720" w:footer="720" w:gutter="0"/>
      <w:pgNumType w:start="0"/>
      <w:cols w:space="720"/>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EA67ECC" w15:done="0"/>
  <w15:commentEx w15:paraId="421BF819" w15:done="0"/>
  <w15:commentEx w15:paraId="1C7017FF" w15:done="0"/>
  <w15:commentEx w15:paraId="6A57CACC" w15:done="0"/>
  <w15:commentEx w15:paraId="3A48D433" w15:done="0"/>
  <w15:commentEx w15:paraId="17017B07" w15:done="0"/>
  <w15:commentEx w15:paraId="30410AD4" w15:done="0"/>
  <w15:commentEx w15:paraId="0C8EC879" w15:done="0"/>
  <w15:commentEx w15:paraId="3EF4418D" w15:done="0"/>
  <w15:commentEx w15:paraId="2ED96E7F" w15:done="0"/>
  <w15:commentEx w15:paraId="1221BC7D" w15:done="0"/>
  <w15:commentEx w15:paraId="18269443" w15:done="0"/>
  <w15:commentEx w15:paraId="3638B91A" w15:done="0"/>
  <w15:commentEx w15:paraId="1EA9B23A" w15:done="0"/>
  <w15:commentEx w15:paraId="7EF2AA6B" w15:done="0"/>
  <w15:commentEx w15:paraId="60F85FDE" w15:done="0"/>
  <w15:commentEx w15:paraId="54F31A4B" w15:done="0"/>
  <w15:commentEx w15:paraId="6670C564" w15:done="0"/>
  <w15:commentEx w15:paraId="54E8C48E" w15:done="0"/>
  <w15:commentEx w15:paraId="58534E9B" w15:done="0"/>
  <w15:commentEx w15:paraId="0F518391" w15:done="0"/>
  <w15:commentEx w15:paraId="4784663A" w15:done="0"/>
  <w15:commentEx w15:paraId="45311D47" w15:done="0"/>
  <w15:commentEx w15:paraId="083D1133" w15:done="0"/>
  <w15:commentEx w15:paraId="29C9944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120C" w:rsidRDefault="003D120C" w:rsidP="00F927BF">
      <w:pPr>
        <w:spacing w:after="0" w:line="240" w:lineRule="auto"/>
      </w:pPr>
      <w:r>
        <w:separator/>
      </w:r>
    </w:p>
  </w:endnote>
  <w:endnote w:type="continuationSeparator" w:id="0">
    <w:p w:rsidR="003D120C" w:rsidRDefault="003D120C" w:rsidP="00F927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1"/>
    <w:family w:val="roman"/>
    <w:notTrueType/>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7320346"/>
      <w:docPartObj>
        <w:docPartGallery w:val="Page Numbers (Bottom of Page)"/>
        <w:docPartUnique/>
      </w:docPartObj>
    </w:sdtPr>
    <w:sdtEndPr>
      <w:rPr>
        <w:color w:val="808080" w:themeColor="background1" w:themeShade="80"/>
        <w:spacing w:val="60"/>
      </w:rPr>
    </w:sdtEndPr>
    <w:sdtContent>
      <w:p w:rsidR="00503A1C" w:rsidRDefault="00503A1C">
        <w:pPr>
          <w:pStyle w:val="Footer"/>
          <w:pBdr>
            <w:top w:val="single" w:sz="4" w:space="1" w:color="D9D9D9" w:themeColor="background1" w:themeShade="D9"/>
          </w:pBdr>
          <w:jc w:val="right"/>
        </w:pPr>
        <w:r>
          <w:fldChar w:fldCharType="begin"/>
        </w:r>
        <w:r>
          <w:instrText xml:space="preserve"> PAGE   \* MERGEFORMAT </w:instrText>
        </w:r>
        <w:r>
          <w:fldChar w:fldCharType="separate"/>
        </w:r>
        <w:r w:rsidR="00307656">
          <w:rPr>
            <w:noProof/>
          </w:rPr>
          <w:t>6</w:t>
        </w:r>
        <w:r>
          <w:rPr>
            <w:noProof/>
          </w:rPr>
          <w:fldChar w:fldCharType="end"/>
        </w:r>
        <w:r>
          <w:t xml:space="preserve"> | </w:t>
        </w:r>
        <w:r>
          <w:rPr>
            <w:color w:val="808080" w:themeColor="background1" w:themeShade="80"/>
            <w:spacing w:val="60"/>
          </w:rPr>
          <w:t>Page</w:t>
        </w:r>
      </w:p>
    </w:sdtContent>
  </w:sdt>
  <w:p w:rsidR="00503A1C" w:rsidRDefault="00503A1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120C" w:rsidRDefault="003D120C" w:rsidP="00F927BF">
      <w:pPr>
        <w:spacing w:after="0" w:line="240" w:lineRule="auto"/>
      </w:pPr>
      <w:r>
        <w:separator/>
      </w:r>
    </w:p>
  </w:footnote>
  <w:footnote w:type="continuationSeparator" w:id="0">
    <w:p w:rsidR="003D120C" w:rsidRDefault="003D120C" w:rsidP="00F927B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852EF"/>
    <w:multiLevelType w:val="hybridMultilevel"/>
    <w:tmpl w:val="45F2C930"/>
    <w:lvl w:ilvl="0" w:tplc="DCA06F0A">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843DCC"/>
    <w:multiLevelType w:val="hybridMultilevel"/>
    <w:tmpl w:val="10A4AF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E03CF9"/>
    <w:multiLevelType w:val="multilevel"/>
    <w:tmpl w:val="A5960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4FA6E2D"/>
    <w:multiLevelType w:val="multilevel"/>
    <w:tmpl w:val="26144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8070072"/>
    <w:multiLevelType w:val="hybridMultilevel"/>
    <w:tmpl w:val="6AC0DF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E8E742B"/>
    <w:multiLevelType w:val="hybridMultilevel"/>
    <w:tmpl w:val="EFB808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4575841"/>
    <w:multiLevelType w:val="hybridMultilevel"/>
    <w:tmpl w:val="22C094A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9380B08"/>
    <w:multiLevelType w:val="hybridMultilevel"/>
    <w:tmpl w:val="1F80B28A"/>
    <w:lvl w:ilvl="0" w:tplc="ECE2409A">
      <w:start w:val="1"/>
      <w:numFmt w:val="decimal"/>
      <w:lvlText w:val="%1."/>
      <w:lvlJc w:val="left"/>
      <w:pPr>
        <w:ind w:left="720" w:hanging="360"/>
      </w:pPr>
      <w:rPr>
        <w:rFonts w:ascii="Calibri" w:eastAsia="Calibri" w:hAnsi="Calibri"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297641F5"/>
    <w:multiLevelType w:val="hybridMultilevel"/>
    <w:tmpl w:val="1F80B28A"/>
    <w:lvl w:ilvl="0" w:tplc="ECE2409A">
      <w:start w:val="1"/>
      <w:numFmt w:val="decimal"/>
      <w:lvlText w:val="%1."/>
      <w:lvlJc w:val="left"/>
      <w:pPr>
        <w:ind w:left="720" w:hanging="360"/>
      </w:pPr>
      <w:rPr>
        <w:rFonts w:ascii="Calibri" w:eastAsia="Calibri" w:hAnsi="Calibri"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2E18089C"/>
    <w:multiLevelType w:val="hybridMultilevel"/>
    <w:tmpl w:val="72EC20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1425BD7"/>
    <w:multiLevelType w:val="hybridMultilevel"/>
    <w:tmpl w:val="4276F796"/>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11">
    <w:nsid w:val="3881761F"/>
    <w:multiLevelType w:val="multilevel"/>
    <w:tmpl w:val="A09A9EFE"/>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cs="Times New Roman" w:hint="default"/>
        <w:sz w:val="20"/>
      </w:rPr>
    </w:lvl>
    <w:lvl w:ilvl="2">
      <w:start w:val="1"/>
      <w:numFmt w:val="bullet"/>
      <w:lvlText w:val=""/>
      <w:lvlJc w:val="left"/>
      <w:pPr>
        <w:tabs>
          <w:tab w:val="num" w:pos="2520"/>
        </w:tabs>
        <w:ind w:left="2520" w:hanging="360"/>
      </w:pPr>
      <w:rPr>
        <w:rFonts w:ascii="Wingdings" w:hAnsi="Wingdings" w:hint="default"/>
        <w:sz w:val="20"/>
      </w:rPr>
    </w:lvl>
    <w:lvl w:ilvl="3">
      <w:start w:val="1"/>
      <w:numFmt w:val="bullet"/>
      <w:lvlText w:val=""/>
      <w:lvlJc w:val="left"/>
      <w:pPr>
        <w:tabs>
          <w:tab w:val="num" w:pos="3240"/>
        </w:tabs>
        <w:ind w:left="3240" w:hanging="360"/>
      </w:pPr>
      <w:rPr>
        <w:rFonts w:ascii="Wingdings" w:hAnsi="Wingdings" w:hint="default"/>
        <w:sz w:val="20"/>
      </w:rPr>
    </w:lvl>
    <w:lvl w:ilvl="4">
      <w:start w:val="1"/>
      <w:numFmt w:val="bullet"/>
      <w:lvlText w:val=""/>
      <w:lvlJc w:val="left"/>
      <w:pPr>
        <w:tabs>
          <w:tab w:val="num" w:pos="3960"/>
        </w:tabs>
        <w:ind w:left="3960" w:hanging="360"/>
      </w:pPr>
      <w:rPr>
        <w:rFonts w:ascii="Wingdings" w:hAnsi="Wingdings" w:hint="default"/>
        <w:sz w:val="20"/>
      </w:rPr>
    </w:lvl>
    <w:lvl w:ilvl="5">
      <w:start w:val="1"/>
      <w:numFmt w:val="bullet"/>
      <w:lvlText w:val=""/>
      <w:lvlJc w:val="left"/>
      <w:pPr>
        <w:tabs>
          <w:tab w:val="num" w:pos="4680"/>
        </w:tabs>
        <w:ind w:left="4680" w:hanging="360"/>
      </w:pPr>
      <w:rPr>
        <w:rFonts w:ascii="Wingdings" w:hAnsi="Wingdings" w:hint="default"/>
        <w:sz w:val="20"/>
      </w:rPr>
    </w:lvl>
    <w:lvl w:ilvl="6">
      <w:start w:val="1"/>
      <w:numFmt w:val="bullet"/>
      <w:lvlText w:val=""/>
      <w:lvlJc w:val="left"/>
      <w:pPr>
        <w:tabs>
          <w:tab w:val="num" w:pos="5400"/>
        </w:tabs>
        <w:ind w:left="5400" w:hanging="360"/>
      </w:pPr>
      <w:rPr>
        <w:rFonts w:ascii="Wingdings" w:hAnsi="Wingdings" w:hint="default"/>
        <w:sz w:val="20"/>
      </w:rPr>
    </w:lvl>
    <w:lvl w:ilvl="7">
      <w:start w:val="1"/>
      <w:numFmt w:val="bullet"/>
      <w:lvlText w:val=""/>
      <w:lvlJc w:val="left"/>
      <w:pPr>
        <w:tabs>
          <w:tab w:val="num" w:pos="6120"/>
        </w:tabs>
        <w:ind w:left="6120" w:hanging="360"/>
      </w:pPr>
      <w:rPr>
        <w:rFonts w:ascii="Wingdings" w:hAnsi="Wingdings" w:hint="default"/>
        <w:sz w:val="20"/>
      </w:rPr>
    </w:lvl>
    <w:lvl w:ilvl="8">
      <w:start w:val="1"/>
      <w:numFmt w:val="bullet"/>
      <w:lvlText w:val=""/>
      <w:lvlJc w:val="left"/>
      <w:pPr>
        <w:tabs>
          <w:tab w:val="num" w:pos="6840"/>
        </w:tabs>
        <w:ind w:left="6840" w:hanging="360"/>
      </w:pPr>
      <w:rPr>
        <w:rFonts w:ascii="Wingdings" w:hAnsi="Wingdings" w:hint="default"/>
        <w:sz w:val="20"/>
      </w:rPr>
    </w:lvl>
  </w:abstractNum>
  <w:abstractNum w:abstractNumId="12">
    <w:nsid w:val="3A714BD1"/>
    <w:multiLevelType w:val="hybridMultilevel"/>
    <w:tmpl w:val="93FC989E"/>
    <w:lvl w:ilvl="0" w:tplc="FD8EDEC2">
      <w:numFmt w:val="bullet"/>
      <w:lvlText w:val=""/>
      <w:lvlJc w:val="left"/>
      <w:pPr>
        <w:ind w:left="3600" w:hanging="360"/>
      </w:pPr>
      <w:rPr>
        <w:rFonts w:ascii="Symbol" w:eastAsiaTheme="minorHAnsi" w:hAnsi="Symbol" w:cstheme="minorBidi" w:hint="default"/>
        <w:color w:val="333333"/>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nsid w:val="3BFC625D"/>
    <w:multiLevelType w:val="hybridMultilevel"/>
    <w:tmpl w:val="8B9A1E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2E05519"/>
    <w:multiLevelType w:val="hybridMultilevel"/>
    <w:tmpl w:val="DFC07598"/>
    <w:lvl w:ilvl="0" w:tplc="04090005">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5">
    <w:nsid w:val="42E178A4"/>
    <w:multiLevelType w:val="hybridMultilevel"/>
    <w:tmpl w:val="FDE0017E"/>
    <w:lvl w:ilvl="0" w:tplc="FD8EDEC2">
      <w:numFmt w:val="bullet"/>
      <w:lvlText w:val=""/>
      <w:lvlJc w:val="left"/>
      <w:pPr>
        <w:ind w:left="1800" w:hanging="360"/>
      </w:pPr>
      <w:rPr>
        <w:rFonts w:ascii="Symbol" w:eastAsiaTheme="minorHAnsi" w:hAnsi="Symbol" w:cstheme="minorBidi" w:hint="default"/>
        <w:color w:val="333333"/>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16">
    <w:nsid w:val="437A6BAC"/>
    <w:multiLevelType w:val="hybridMultilevel"/>
    <w:tmpl w:val="45F2C930"/>
    <w:lvl w:ilvl="0" w:tplc="DCA06F0A">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5C25D19"/>
    <w:multiLevelType w:val="hybridMultilevel"/>
    <w:tmpl w:val="5F92F9F8"/>
    <w:lvl w:ilvl="0" w:tplc="FD8EDEC2">
      <w:numFmt w:val="bullet"/>
      <w:lvlText w:val=""/>
      <w:lvlJc w:val="left"/>
      <w:pPr>
        <w:ind w:left="1440" w:hanging="360"/>
      </w:pPr>
      <w:rPr>
        <w:rFonts w:ascii="Symbol" w:eastAsiaTheme="minorHAnsi" w:hAnsi="Symbol" w:cstheme="minorBidi" w:hint="default"/>
        <w:color w:val="333333"/>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8">
    <w:nsid w:val="46904D12"/>
    <w:multiLevelType w:val="hybridMultilevel"/>
    <w:tmpl w:val="CC324C1E"/>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9">
    <w:nsid w:val="4A607B7F"/>
    <w:multiLevelType w:val="hybridMultilevel"/>
    <w:tmpl w:val="2D7444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0964B9C"/>
    <w:multiLevelType w:val="hybridMultilevel"/>
    <w:tmpl w:val="339C7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1003EDE"/>
    <w:multiLevelType w:val="hybridMultilevel"/>
    <w:tmpl w:val="1F80B28A"/>
    <w:lvl w:ilvl="0" w:tplc="ECE2409A">
      <w:start w:val="1"/>
      <w:numFmt w:val="decimal"/>
      <w:lvlText w:val="%1."/>
      <w:lvlJc w:val="left"/>
      <w:pPr>
        <w:ind w:left="720" w:hanging="360"/>
      </w:pPr>
      <w:rPr>
        <w:rFonts w:ascii="Calibri" w:eastAsia="Calibri" w:hAnsi="Calibri"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nsid w:val="5D3A50ED"/>
    <w:multiLevelType w:val="hybridMultilevel"/>
    <w:tmpl w:val="BBECBD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nsid w:val="66E11961"/>
    <w:multiLevelType w:val="hybridMultilevel"/>
    <w:tmpl w:val="A754E578"/>
    <w:lvl w:ilvl="0" w:tplc="04090015">
      <w:start w:val="1"/>
      <w:numFmt w:val="upp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F816C21"/>
    <w:multiLevelType w:val="hybridMultilevel"/>
    <w:tmpl w:val="F544F0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nsid w:val="730F6270"/>
    <w:multiLevelType w:val="hybridMultilevel"/>
    <w:tmpl w:val="7024B7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nsid w:val="74B05DBE"/>
    <w:multiLevelType w:val="hybridMultilevel"/>
    <w:tmpl w:val="D944C04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7">
    <w:nsid w:val="75FE656F"/>
    <w:multiLevelType w:val="hybridMultilevel"/>
    <w:tmpl w:val="1F80B28A"/>
    <w:lvl w:ilvl="0" w:tplc="ECE2409A">
      <w:start w:val="1"/>
      <w:numFmt w:val="decimal"/>
      <w:lvlText w:val="%1."/>
      <w:lvlJc w:val="left"/>
      <w:pPr>
        <w:ind w:left="720" w:hanging="360"/>
      </w:pPr>
      <w:rPr>
        <w:rFonts w:ascii="Calibri" w:eastAsia="Calibri" w:hAnsi="Calibri"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nsid w:val="76CB0C77"/>
    <w:multiLevelType w:val="hybridMultilevel"/>
    <w:tmpl w:val="62B63910"/>
    <w:lvl w:ilvl="0" w:tplc="DCA06F0A">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79725BB"/>
    <w:multiLevelType w:val="hybridMultilevel"/>
    <w:tmpl w:val="3FC00D6C"/>
    <w:lvl w:ilvl="0" w:tplc="56E89CE8">
      <w:start w:val="3"/>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8E656E1"/>
    <w:multiLevelType w:val="multilevel"/>
    <w:tmpl w:val="6C125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92D173B"/>
    <w:multiLevelType w:val="hybridMultilevel"/>
    <w:tmpl w:val="2D7444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A927F26"/>
    <w:multiLevelType w:val="hybridMultilevel"/>
    <w:tmpl w:val="5B2C11B4"/>
    <w:lvl w:ilvl="0" w:tplc="FD8EDEC2">
      <w:numFmt w:val="bullet"/>
      <w:lvlText w:val=""/>
      <w:lvlJc w:val="left"/>
      <w:pPr>
        <w:ind w:left="1800" w:hanging="360"/>
      </w:pPr>
      <w:rPr>
        <w:rFonts w:ascii="Symbol" w:eastAsiaTheme="minorHAnsi" w:hAnsi="Symbol" w:cstheme="minorBidi" w:hint="default"/>
        <w:color w:val="333333"/>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33">
    <w:nsid w:val="7B333489"/>
    <w:multiLevelType w:val="hybridMultilevel"/>
    <w:tmpl w:val="BFEC590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B716C3D"/>
    <w:multiLevelType w:val="hybridMultilevel"/>
    <w:tmpl w:val="1A5EE1F0"/>
    <w:lvl w:ilvl="0" w:tplc="FD8EDEC2">
      <w:numFmt w:val="bullet"/>
      <w:lvlText w:val=""/>
      <w:lvlJc w:val="left"/>
      <w:pPr>
        <w:ind w:left="2520" w:hanging="360"/>
      </w:pPr>
      <w:rPr>
        <w:rFonts w:ascii="Symbol" w:eastAsiaTheme="minorHAnsi" w:hAnsi="Symbol" w:cstheme="minorBidi" w:hint="default"/>
        <w:color w:val="333333"/>
      </w:rPr>
    </w:lvl>
    <w:lvl w:ilvl="1" w:tplc="FD8EDEC2">
      <w:numFmt w:val="bullet"/>
      <w:lvlText w:val=""/>
      <w:lvlJc w:val="left"/>
      <w:pPr>
        <w:ind w:left="2520" w:hanging="360"/>
      </w:pPr>
      <w:rPr>
        <w:rFonts w:ascii="Symbol" w:eastAsiaTheme="minorHAnsi" w:hAnsi="Symbol" w:cstheme="minorBidi" w:hint="default"/>
        <w:color w:val="333333"/>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35">
    <w:nsid w:val="7E1D66A7"/>
    <w:multiLevelType w:val="hybridMultilevel"/>
    <w:tmpl w:val="C6E6F03A"/>
    <w:lvl w:ilvl="0" w:tplc="56E89CE8">
      <w:start w:val="3"/>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EFE270A"/>
    <w:multiLevelType w:val="multilevel"/>
    <w:tmpl w:val="B2608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31"/>
  </w:num>
  <w:num w:numId="3">
    <w:abstractNumId w:val="13"/>
  </w:num>
  <w:num w:numId="4">
    <w:abstractNumId w:val="28"/>
  </w:num>
  <w:num w:numId="5">
    <w:abstractNumId w:val="23"/>
  </w:num>
  <w:num w:numId="6">
    <w:abstractNumId w:val="16"/>
  </w:num>
  <w:num w:numId="7">
    <w:abstractNumId w:val="0"/>
  </w:num>
  <w:num w:numId="8">
    <w:abstractNumId w:val="35"/>
  </w:num>
  <w:num w:numId="9">
    <w:abstractNumId w:val="29"/>
  </w:num>
  <w:num w:numId="1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num>
  <w:num w:numId="12">
    <w:abstractNumId w:val="8"/>
  </w:num>
  <w:num w:numId="13">
    <w:abstractNumId w:val="7"/>
  </w:num>
  <w:num w:numId="14">
    <w:abstractNumId w:val="4"/>
  </w:num>
  <w:num w:numId="15">
    <w:abstractNumId w:val="33"/>
  </w:num>
  <w:num w:numId="16">
    <w:abstractNumId w:val="6"/>
  </w:num>
  <w:num w:numId="17">
    <w:abstractNumId w:val="19"/>
  </w:num>
  <w:num w:numId="18">
    <w:abstractNumId w:val="18"/>
  </w:num>
  <w:num w:numId="19">
    <w:abstractNumId w:val="14"/>
  </w:num>
  <w:num w:numId="20">
    <w:abstractNumId w:val="17"/>
  </w:num>
  <w:num w:numId="21">
    <w:abstractNumId w:val="34"/>
  </w:num>
  <w:num w:numId="22">
    <w:abstractNumId w:val="32"/>
  </w:num>
  <w:num w:numId="23">
    <w:abstractNumId w:val="15"/>
  </w:num>
  <w:num w:numId="24">
    <w:abstractNumId w:val="24"/>
  </w:num>
  <w:num w:numId="25">
    <w:abstractNumId w:val="26"/>
  </w:num>
  <w:num w:numId="26">
    <w:abstractNumId w:val="22"/>
  </w:num>
  <w:num w:numId="27">
    <w:abstractNumId w:val="25"/>
  </w:num>
  <w:num w:numId="28">
    <w:abstractNumId w:val="11"/>
  </w:num>
  <w:num w:numId="29">
    <w:abstractNumId w:val="5"/>
  </w:num>
  <w:num w:numId="30">
    <w:abstractNumId w:val="20"/>
  </w:num>
  <w:num w:numId="31">
    <w:abstractNumId w:val="12"/>
  </w:num>
  <w:num w:numId="32">
    <w:abstractNumId w:val="10"/>
  </w:num>
  <w:num w:numId="33">
    <w:abstractNumId w:val="1"/>
  </w:num>
  <w:num w:numId="34">
    <w:abstractNumId w:val="3"/>
  </w:num>
  <w:num w:numId="35">
    <w:abstractNumId w:val="2"/>
  </w:num>
  <w:num w:numId="36">
    <w:abstractNumId w:val="36"/>
  </w:num>
  <w:num w:numId="37">
    <w:abstractNumId w:val="3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elissa">
    <w15:presenceInfo w15:providerId="None" w15:userId="Melis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5394"/>
    <w:rsid w:val="00017CE6"/>
    <w:rsid w:val="00044C4F"/>
    <w:rsid w:val="00053A91"/>
    <w:rsid w:val="00063D57"/>
    <w:rsid w:val="00081295"/>
    <w:rsid w:val="00090207"/>
    <w:rsid w:val="00096EFF"/>
    <w:rsid w:val="000A538C"/>
    <w:rsid w:val="000B0D6A"/>
    <w:rsid w:val="000D06DA"/>
    <w:rsid w:val="000E590E"/>
    <w:rsid w:val="000F5BB7"/>
    <w:rsid w:val="0018014C"/>
    <w:rsid w:val="00180262"/>
    <w:rsid w:val="001E5559"/>
    <w:rsid w:val="001F7BA2"/>
    <w:rsid w:val="00202A2B"/>
    <w:rsid w:val="002108C3"/>
    <w:rsid w:val="00212051"/>
    <w:rsid w:val="0022430A"/>
    <w:rsid w:val="002413BC"/>
    <w:rsid w:val="00242F69"/>
    <w:rsid w:val="0024500D"/>
    <w:rsid w:val="002546D8"/>
    <w:rsid w:val="002B0849"/>
    <w:rsid w:val="002B5394"/>
    <w:rsid w:val="002C3510"/>
    <w:rsid w:val="002D5640"/>
    <w:rsid w:val="003022C5"/>
    <w:rsid w:val="00307656"/>
    <w:rsid w:val="003227EF"/>
    <w:rsid w:val="00327EAB"/>
    <w:rsid w:val="00331389"/>
    <w:rsid w:val="00360F30"/>
    <w:rsid w:val="00364C68"/>
    <w:rsid w:val="00396A52"/>
    <w:rsid w:val="003A6C0B"/>
    <w:rsid w:val="003B40AE"/>
    <w:rsid w:val="003D120C"/>
    <w:rsid w:val="003D55A6"/>
    <w:rsid w:val="00404312"/>
    <w:rsid w:val="0042762A"/>
    <w:rsid w:val="00432CFC"/>
    <w:rsid w:val="00441874"/>
    <w:rsid w:val="00467A0E"/>
    <w:rsid w:val="00480B5B"/>
    <w:rsid w:val="004830D4"/>
    <w:rsid w:val="004C0447"/>
    <w:rsid w:val="004E6DE0"/>
    <w:rsid w:val="00503A1C"/>
    <w:rsid w:val="005264E0"/>
    <w:rsid w:val="00561600"/>
    <w:rsid w:val="005776AC"/>
    <w:rsid w:val="00583203"/>
    <w:rsid w:val="00590B89"/>
    <w:rsid w:val="005A22B5"/>
    <w:rsid w:val="005C5830"/>
    <w:rsid w:val="005D63A5"/>
    <w:rsid w:val="005F04DA"/>
    <w:rsid w:val="00633C8C"/>
    <w:rsid w:val="00642AF0"/>
    <w:rsid w:val="00682033"/>
    <w:rsid w:val="00685951"/>
    <w:rsid w:val="00690690"/>
    <w:rsid w:val="006D5634"/>
    <w:rsid w:val="006E75B8"/>
    <w:rsid w:val="0071404A"/>
    <w:rsid w:val="00720E30"/>
    <w:rsid w:val="00737715"/>
    <w:rsid w:val="00772E00"/>
    <w:rsid w:val="007B4B5A"/>
    <w:rsid w:val="007C0FDD"/>
    <w:rsid w:val="007C39D0"/>
    <w:rsid w:val="00806A68"/>
    <w:rsid w:val="00811C8D"/>
    <w:rsid w:val="0081761A"/>
    <w:rsid w:val="00891C53"/>
    <w:rsid w:val="008A75CA"/>
    <w:rsid w:val="008C68CD"/>
    <w:rsid w:val="008F0CD5"/>
    <w:rsid w:val="00953A6C"/>
    <w:rsid w:val="00962587"/>
    <w:rsid w:val="00962640"/>
    <w:rsid w:val="009E645A"/>
    <w:rsid w:val="009E661E"/>
    <w:rsid w:val="009E6977"/>
    <w:rsid w:val="009F10CC"/>
    <w:rsid w:val="009F472A"/>
    <w:rsid w:val="00A11637"/>
    <w:rsid w:val="00A61BC2"/>
    <w:rsid w:val="00A64B23"/>
    <w:rsid w:val="00AC1BF5"/>
    <w:rsid w:val="00AE31A8"/>
    <w:rsid w:val="00B04E8F"/>
    <w:rsid w:val="00B83592"/>
    <w:rsid w:val="00B90FD1"/>
    <w:rsid w:val="00BB0E82"/>
    <w:rsid w:val="00BB29D3"/>
    <w:rsid w:val="00BD0E55"/>
    <w:rsid w:val="00BE628F"/>
    <w:rsid w:val="00C00D66"/>
    <w:rsid w:val="00C31512"/>
    <w:rsid w:val="00C550CE"/>
    <w:rsid w:val="00C67EA7"/>
    <w:rsid w:val="00C9100C"/>
    <w:rsid w:val="00CA61A5"/>
    <w:rsid w:val="00CB0A0D"/>
    <w:rsid w:val="00CE199D"/>
    <w:rsid w:val="00D05DB1"/>
    <w:rsid w:val="00D07819"/>
    <w:rsid w:val="00D62941"/>
    <w:rsid w:val="00DB0784"/>
    <w:rsid w:val="00DB7597"/>
    <w:rsid w:val="00DE6527"/>
    <w:rsid w:val="00DF1E10"/>
    <w:rsid w:val="00E05BC0"/>
    <w:rsid w:val="00E15CB5"/>
    <w:rsid w:val="00E9624A"/>
    <w:rsid w:val="00F42439"/>
    <w:rsid w:val="00F705C6"/>
    <w:rsid w:val="00F8718D"/>
    <w:rsid w:val="00F927BF"/>
    <w:rsid w:val="00FB2AF1"/>
    <w:rsid w:val="00FC0449"/>
    <w:rsid w:val="00FF66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D563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9020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1761A"/>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unhideWhenUsed/>
    <w:qFormat/>
    <w:rsid w:val="004C044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2B5394"/>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2B5394"/>
    <w:rPr>
      <w:rFonts w:eastAsiaTheme="minorEastAsia"/>
      <w:lang w:eastAsia="ja-JP"/>
    </w:rPr>
  </w:style>
  <w:style w:type="paragraph" w:styleId="BalloonText">
    <w:name w:val="Balloon Text"/>
    <w:basedOn w:val="Normal"/>
    <w:link w:val="BalloonTextChar"/>
    <w:uiPriority w:val="99"/>
    <w:semiHidden/>
    <w:unhideWhenUsed/>
    <w:rsid w:val="002B53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5394"/>
    <w:rPr>
      <w:rFonts w:ascii="Tahoma" w:hAnsi="Tahoma" w:cs="Tahoma"/>
      <w:sz w:val="16"/>
      <w:szCs w:val="16"/>
    </w:rPr>
  </w:style>
  <w:style w:type="paragraph" w:styleId="Header">
    <w:name w:val="header"/>
    <w:basedOn w:val="Normal"/>
    <w:link w:val="HeaderChar"/>
    <w:uiPriority w:val="99"/>
    <w:unhideWhenUsed/>
    <w:rsid w:val="00F927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27BF"/>
  </w:style>
  <w:style w:type="paragraph" w:styleId="Footer">
    <w:name w:val="footer"/>
    <w:basedOn w:val="Normal"/>
    <w:link w:val="FooterChar"/>
    <w:uiPriority w:val="99"/>
    <w:unhideWhenUsed/>
    <w:rsid w:val="00F927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27BF"/>
  </w:style>
  <w:style w:type="paragraph" w:styleId="Title">
    <w:name w:val="Title"/>
    <w:basedOn w:val="Normal"/>
    <w:next w:val="Normal"/>
    <w:link w:val="TitleChar"/>
    <w:uiPriority w:val="10"/>
    <w:qFormat/>
    <w:rsid w:val="00F927B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927BF"/>
    <w:rPr>
      <w:rFonts w:asciiTheme="majorHAnsi" w:eastAsiaTheme="majorEastAsia" w:hAnsiTheme="majorHAnsi" w:cstheme="majorBidi"/>
      <w:color w:val="17365D" w:themeColor="text2" w:themeShade="BF"/>
      <w:spacing w:val="5"/>
      <w:kern w:val="28"/>
      <w:sz w:val="52"/>
      <w:szCs w:val="52"/>
    </w:rPr>
  </w:style>
  <w:style w:type="table" w:styleId="TableGrid">
    <w:name w:val="Table Grid"/>
    <w:basedOn w:val="TableNormal"/>
    <w:uiPriority w:val="59"/>
    <w:rsid w:val="00F927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Grid3-Accent1">
    <w:name w:val="Medium Grid 3 Accent 1"/>
    <w:basedOn w:val="TableNormal"/>
    <w:uiPriority w:val="69"/>
    <w:rsid w:val="00B8359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ListParagraph">
    <w:name w:val="List Paragraph"/>
    <w:basedOn w:val="Normal"/>
    <w:uiPriority w:val="34"/>
    <w:qFormat/>
    <w:rsid w:val="00B83592"/>
    <w:pPr>
      <w:ind w:left="720"/>
      <w:contextualSpacing/>
    </w:pPr>
  </w:style>
  <w:style w:type="character" w:customStyle="1" w:styleId="Heading1Char">
    <w:name w:val="Heading 1 Char"/>
    <w:basedOn w:val="DefaultParagraphFont"/>
    <w:link w:val="Heading1"/>
    <w:uiPriority w:val="9"/>
    <w:rsid w:val="006D5634"/>
    <w:rPr>
      <w:rFonts w:asciiTheme="majorHAnsi" w:eastAsiaTheme="majorEastAsia" w:hAnsiTheme="majorHAnsi" w:cstheme="majorBidi"/>
      <w:b/>
      <w:bCs/>
      <w:color w:val="365F91" w:themeColor="accent1" w:themeShade="BF"/>
      <w:sz w:val="28"/>
      <w:szCs w:val="28"/>
    </w:rPr>
  </w:style>
  <w:style w:type="table" w:styleId="MediumList1-Accent1">
    <w:name w:val="Medium List 1 Accent 1"/>
    <w:basedOn w:val="TableNormal"/>
    <w:uiPriority w:val="65"/>
    <w:rsid w:val="006D563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paragraph" w:styleId="Subtitle">
    <w:name w:val="Subtitle"/>
    <w:basedOn w:val="Normal"/>
    <w:next w:val="Normal"/>
    <w:link w:val="SubtitleChar"/>
    <w:uiPriority w:val="11"/>
    <w:qFormat/>
    <w:rsid w:val="000D06D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0D06DA"/>
    <w:rPr>
      <w:rFonts w:asciiTheme="majorHAnsi" w:eastAsiaTheme="majorEastAsia" w:hAnsiTheme="majorHAnsi" w:cstheme="majorBidi"/>
      <w:i/>
      <w:iCs/>
      <w:color w:val="4F81BD" w:themeColor="accent1"/>
      <w:spacing w:val="15"/>
      <w:sz w:val="24"/>
      <w:szCs w:val="24"/>
    </w:rPr>
  </w:style>
  <w:style w:type="character" w:styleId="CommentReference">
    <w:name w:val="annotation reference"/>
    <w:basedOn w:val="DefaultParagraphFont"/>
    <w:uiPriority w:val="99"/>
    <w:semiHidden/>
    <w:unhideWhenUsed/>
    <w:rsid w:val="00CB0A0D"/>
    <w:rPr>
      <w:sz w:val="16"/>
      <w:szCs w:val="16"/>
    </w:rPr>
  </w:style>
  <w:style w:type="paragraph" w:styleId="CommentText">
    <w:name w:val="annotation text"/>
    <w:basedOn w:val="Normal"/>
    <w:link w:val="CommentTextChar"/>
    <w:uiPriority w:val="99"/>
    <w:semiHidden/>
    <w:unhideWhenUsed/>
    <w:rsid w:val="00CB0A0D"/>
    <w:pPr>
      <w:spacing w:line="240" w:lineRule="auto"/>
    </w:pPr>
    <w:rPr>
      <w:sz w:val="20"/>
      <w:szCs w:val="20"/>
    </w:rPr>
  </w:style>
  <w:style w:type="character" w:customStyle="1" w:styleId="CommentTextChar">
    <w:name w:val="Comment Text Char"/>
    <w:basedOn w:val="DefaultParagraphFont"/>
    <w:link w:val="CommentText"/>
    <w:uiPriority w:val="99"/>
    <w:semiHidden/>
    <w:rsid w:val="00CB0A0D"/>
    <w:rPr>
      <w:sz w:val="20"/>
      <w:szCs w:val="20"/>
    </w:rPr>
  </w:style>
  <w:style w:type="paragraph" w:styleId="CommentSubject">
    <w:name w:val="annotation subject"/>
    <w:basedOn w:val="CommentText"/>
    <w:next w:val="CommentText"/>
    <w:link w:val="CommentSubjectChar"/>
    <w:uiPriority w:val="99"/>
    <w:semiHidden/>
    <w:unhideWhenUsed/>
    <w:rsid w:val="00CB0A0D"/>
    <w:rPr>
      <w:b/>
      <w:bCs/>
    </w:rPr>
  </w:style>
  <w:style w:type="character" w:customStyle="1" w:styleId="CommentSubjectChar">
    <w:name w:val="Comment Subject Char"/>
    <w:basedOn w:val="CommentTextChar"/>
    <w:link w:val="CommentSubject"/>
    <w:uiPriority w:val="99"/>
    <w:semiHidden/>
    <w:rsid w:val="00CB0A0D"/>
    <w:rPr>
      <w:b/>
      <w:bCs/>
      <w:sz w:val="20"/>
      <w:szCs w:val="20"/>
    </w:rPr>
  </w:style>
  <w:style w:type="paragraph" w:customStyle="1" w:styleId="Default">
    <w:name w:val="Default"/>
    <w:rsid w:val="00FB2AF1"/>
    <w:pPr>
      <w:autoSpaceDE w:val="0"/>
      <w:autoSpaceDN w:val="0"/>
      <w:adjustRightInd w:val="0"/>
      <w:spacing w:after="0" w:line="240" w:lineRule="auto"/>
    </w:pPr>
    <w:rPr>
      <w:rFonts w:ascii="Cambria" w:hAnsi="Cambria" w:cs="Cambria"/>
      <w:color w:val="000000"/>
      <w:sz w:val="24"/>
      <w:szCs w:val="24"/>
    </w:rPr>
  </w:style>
  <w:style w:type="character" w:styleId="Hyperlink">
    <w:name w:val="Hyperlink"/>
    <w:basedOn w:val="DefaultParagraphFont"/>
    <w:uiPriority w:val="99"/>
    <w:semiHidden/>
    <w:unhideWhenUsed/>
    <w:rsid w:val="00BE628F"/>
    <w:rPr>
      <w:color w:val="0000FF" w:themeColor="hyperlink"/>
      <w:u w:val="single"/>
    </w:rPr>
  </w:style>
  <w:style w:type="character" w:customStyle="1" w:styleId="Heading2Char">
    <w:name w:val="Heading 2 Char"/>
    <w:basedOn w:val="DefaultParagraphFont"/>
    <w:link w:val="Heading2"/>
    <w:uiPriority w:val="9"/>
    <w:rsid w:val="00090207"/>
    <w:rPr>
      <w:rFonts w:asciiTheme="majorHAnsi" w:eastAsiaTheme="majorEastAsia" w:hAnsiTheme="majorHAnsi" w:cstheme="majorBidi"/>
      <w:b/>
      <w:bCs/>
      <w:color w:val="4F81BD" w:themeColor="accent1"/>
      <w:sz w:val="26"/>
      <w:szCs w:val="26"/>
    </w:rPr>
  </w:style>
  <w:style w:type="character" w:styleId="Strong">
    <w:name w:val="Strong"/>
    <w:basedOn w:val="DefaultParagraphFont"/>
    <w:uiPriority w:val="22"/>
    <w:qFormat/>
    <w:rsid w:val="007B4B5A"/>
    <w:rPr>
      <w:b/>
      <w:bCs/>
    </w:rPr>
  </w:style>
  <w:style w:type="character" w:customStyle="1" w:styleId="Heading3Char">
    <w:name w:val="Heading 3 Char"/>
    <w:basedOn w:val="DefaultParagraphFont"/>
    <w:link w:val="Heading3"/>
    <w:uiPriority w:val="9"/>
    <w:rsid w:val="0081761A"/>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rsid w:val="004C0447"/>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D563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9020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1761A"/>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unhideWhenUsed/>
    <w:qFormat/>
    <w:rsid w:val="004C044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2B5394"/>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2B5394"/>
    <w:rPr>
      <w:rFonts w:eastAsiaTheme="minorEastAsia"/>
      <w:lang w:eastAsia="ja-JP"/>
    </w:rPr>
  </w:style>
  <w:style w:type="paragraph" w:styleId="BalloonText">
    <w:name w:val="Balloon Text"/>
    <w:basedOn w:val="Normal"/>
    <w:link w:val="BalloonTextChar"/>
    <w:uiPriority w:val="99"/>
    <w:semiHidden/>
    <w:unhideWhenUsed/>
    <w:rsid w:val="002B53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5394"/>
    <w:rPr>
      <w:rFonts w:ascii="Tahoma" w:hAnsi="Tahoma" w:cs="Tahoma"/>
      <w:sz w:val="16"/>
      <w:szCs w:val="16"/>
    </w:rPr>
  </w:style>
  <w:style w:type="paragraph" w:styleId="Header">
    <w:name w:val="header"/>
    <w:basedOn w:val="Normal"/>
    <w:link w:val="HeaderChar"/>
    <w:uiPriority w:val="99"/>
    <w:unhideWhenUsed/>
    <w:rsid w:val="00F927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27BF"/>
  </w:style>
  <w:style w:type="paragraph" w:styleId="Footer">
    <w:name w:val="footer"/>
    <w:basedOn w:val="Normal"/>
    <w:link w:val="FooterChar"/>
    <w:uiPriority w:val="99"/>
    <w:unhideWhenUsed/>
    <w:rsid w:val="00F927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27BF"/>
  </w:style>
  <w:style w:type="paragraph" w:styleId="Title">
    <w:name w:val="Title"/>
    <w:basedOn w:val="Normal"/>
    <w:next w:val="Normal"/>
    <w:link w:val="TitleChar"/>
    <w:uiPriority w:val="10"/>
    <w:qFormat/>
    <w:rsid w:val="00F927B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927BF"/>
    <w:rPr>
      <w:rFonts w:asciiTheme="majorHAnsi" w:eastAsiaTheme="majorEastAsia" w:hAnsiTheme="majorHAnsi" w:cstheme="majorBidi"/>
      <w:color w:val="17365D" w:themeColor="text2" w:themeShade="BF"/>
      <w:spacing w:val="5"/>
      <w:kern w:val="28"/>
      <w:sz w:val="52"/>
      <w:szCs w:val="52"/>
    </w:rPr>
  </w:style>
  <w:style w:type="table" w:styleId="TableGrid">
    <w:name w:val="Table Grid"/>
    <w:basedOn w:val="TableNormal"/>
    <w:uiPriority w:val="59"/>
    <w:rsid w:val="00F927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Grid3-Accent1">
    <w:name w:val="Medium Grid 3 Accent 1"/>
    <w:basedOn w:val="TableNormal"/>
    <w:uiPriority w:val="69"/>
    <w:rsid w:val="00B8359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ListParagraph">
    <w:name w:val="List Paragraph"/>
    <w:basedOn w:val="Normal"/>
    <w:uiPriority w:val="34"/>
    <w:qFormat/>
    <w:rsid w:val="00B83592"/>
    <w:pPr>
      <w:ind w:left="720"/>
      <w:contextualSpacing/>
    </w:pPr>
  </w:style>
  <w:style w:type="character" w:customStyle="1" w:styleId="Heading1Char">
    <w:name w:val="Heading 1 Char"/>
    <w:basedOn w:val="DefaultParagraphFont"/>
    <w:link w:val="Heading1"/>
    <w:uiPriority w:val="9"/>
    <w:rsid w:val="006D5634"/>
    <w:rPr>
      <w:rFonts w:asciiTheme="majorHAnsi" w:eastAsiaTheme="majorEastAsia" w:hAnsiTheme="majorHAnsi" w:cstheme="majorBidi"/>
      <w:b/>
      <w:bCs/>
      <w:color w:val="365F91" w:themeColor="accent1" w:themeShade="BF"/>
      <w:sz w:val="28"/>
      <w:szCs w:val="28"/>
    </w:rPr>
  </w:style>
  <w:style w:type="table" w:styleId="MediumList1-Accent1">
    <w:name w:val="Medium List 1 Accent 1"/>
    <w:basedOn w:val="TableNormal"/>
    <w:uiPriority w:val="65"/>
    <w:rsid w:val="006D563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paragraph" w:styleId="Subtitle">
    <w:name w:val="Subtitle"/>
    <w:basedOn w:val="Normal"/>
    <w:next w:val="Normal"/>
    <w:link w:val="SubtitleChar"/>
    <w:uiPriority w:val="11"/>
    <w:qFormat/>
    <w:rsid w:val="000D06D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0D06DA"/>
    <w:rPr>
      <w:rFonts w:asciiTheme="majorHAnsi" w:eastAsiaTheme="majorEastAsia" w:hAnsiTheme="majorHAnsi" w:cstheme="majorBidi"/>
      <w:i/>
      <w:iCs/>
      <w:color w:val="4F81BD" w:themeColor="accent1"/>
      <w:spacing w:val="15"/>
      <w:sz w:val="24"/>
      <w:szCs w:val="24"/>
    </w:rPr>
  </w:style>
  <w:style w:type="character" w:styleId="CommentReference">
    <w:name w:val="annotation reference"/>
    <w:basedOn w:val="DefaultParagraphFont"/>
    <w:uiPriority w:val="99"/>
    <w:semiHidden/>
    <w:unhideWhenUsed/>
    <w:rsid w:val="00CB0A0D"/>
    <w:rPr>
      <w:sz w:val="16"/>
      <w:szCs w:val="16"/>
    </w:rPr>
  </w:style>
  <w:style w:type="paragraph" w:styleId="CommentText">
    <w:name w:val="annotation text"/>
    <w:basedOn w:val="Normal"/>
    <w:link w:val="CommentTextChar"/>
    <w:uiPriority w:val="99"/>
    <w:semiHidden/>
    <w:unhideWhenUsed/>
    <w:rsid w:val="00CB0A0D"/>
    <w:pPr>
      <w:spacing w:line="240" w:lineRule="auto"/>
    </w:pPr>
    <w:rPr>
      <w:sz w:val="20"/>
      <w:szCs w:val="20"/>
    </w:rPr>
  </w:style>
  <w:style w:type="character" w:customStyle="1" w:styleId="CommentTextChar">
    <w:name w:val="Comment Text Char"/>
    <w:basedOn w:val="DefaultParagraphFont"/>
    <w:link w:val="CommentText"/>
    <w:uiPriority w:val="99"/>
    <w:semiHidden/>
    <w:rsid w:val="00CB0A0D"/>
    <w:rPr>
      <w:sz w:val="20"/>
      <w:szCs w:val="20"/>
    </w:rPr>
  </w:style>
  <w:style w:type="paragraph" w:styleId="CommentSubject">
    <w:name w:val="annotation subject"/>
    <w:basedOn w:val="CommentText"/>
    <w:next w:val="CommentText"/>
    <w:link w:val="CommentSubjectChar"/>
    <w:uiPriority w:val="99"/>
    <w:semiHidden/>
    <w:unhideWhenUsed/>
    <w:rsid w:val="00CB0A0D"/>
    <w:rPr>
      <w:b/>
      <w:bCs/>
    </w:rPr>
  </w:style>
  <w:style w:type="character" w:customStyle="1" w:styleId="CommentSubjectChar">
    <w:name w:val="Comment Subject Char"/>
    <w:basedOn w:val="CommentTextChar"/>
    <w:link w:val="CommentSubject"/>
    <w:uiPriority w:val="99"/>
    <w:semiHidden/>
    <w:rsid w:val="00CB0A0D"/>
    <w:rPr>
      <w:b/>
      <w:bCs/>
      <w:sz w:val="20"/>
      <w:szCs w:val="20"/>
    </w:rPr>
  </w:style>
  <w:style w:type="paragraph" w:customStyle="1" w:styleId="Default">
    <w:name w:val="Default"/>
    <w:rsid w:val="00FB2AF1"/>
    <w:pPr>
      <w:autoSpaceDE w:val="0"/>
      <w:autoSpaceDN w:val="0"/>
      <w:adjustRightInd w:val="0"/>
      <w:spacing w:after="0" w:line="240" w:lineRule="auto"/>
    </w:pPr>
    <w:rPr>
      <w:rFonts w:ascii="Cambria" w:hAnsi="Cambria" w:cs="Cambria"/>
      <w:color w:val="000000"/>
      <w:sz w:val="24"/>
      <w:szCs w:val="24"/>
    </w:rPr>
  </w:style>
  <w:style w:type="character" w:styleId="Hyperlink">
    <w:name w:val="Hyperlink"/>
    <w:basedOn w:val="DefaultParagraphFont"/>
    <w:uiPriority w:val="99"/>
    <w:semiHidden/>
    <w:unhideWhenUsed/>
    <w:rsid w:val="00BE628F"/>
    <w:rPr>
      <w:color w:val="0000FF" w:themeColor="hyperlink"/>
      <w:u w:val="single"/>
    </w:rPr>
  </w:style>
  <w:style w:type="character" w:customStyle="1" w:styleId="Heading2Char">
    <w:name w:val="Heading 2 Char"/>
    <w:basedOn w:val="DefaultParagraphFont"/>
    <w:link w:val="Heading2"/>
    <w:uiPriority w:val="9"/>
    <w:rsid w:val="00090207"/>
    <w:rPr>
      <w:rFonts w:asciiTheme="majorHAnsi" w:eastAsiaTheme="majorEastAsia" w:hAnsiTheme="majorHAnsi" w:cstheme="majorBidi"/>
      <w:b/>
      <w:bCs/>
      <w:color w:val="4F81BD" w:themeColor="accent1"/>
      <w:sz w:val="26"/>
      <w:szCs w:val="26"/>
    </w:rPr>
  </w:style>
  <w:style w:type="character" w:styleId="Strong">
    <w:name w:val="Strong"/>
    <w:basedOn w:val="DefaultParagraphFont"/>
    <w:uiPriority w:val="22"/>
    <w:qFormat/>
    <w:rsid w:val="007B4B5A"/>
    <w:rPr>
      <w:b/>
      <w:bCs/>
    </w:rPr>
  </w:style>
  <w:style w:type="character" w:customStyle="1" w:styleId="Heading3Char">
    <w:name w:val="Heading 3 Char"/>
    <w:basedOn w:val="DefaultParagraphFont"/>
    <w:link w:val="Heading3"/>
    <w:uiPriority w:val="9"/>
    <w:rsid w:val="0081761A"/>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rsid w:val="004C0447"/>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657395">
      <w:bodyDiv w:val="1"/>
      <w:marLeft w:val="0"/>
      <w:marRight w:val="0"/>
      <w:marTop w:val="0"/>
      <w:marBottom w:val="0"/>
      <w:divBdr>
        <w:top w:val="none" w:sz="0" w:space="0" w:color="auto"/>
        <w:left w:val="none" w:sz="0" w:space="0" w:color="auto"/>
        <w:bottom w:val="none" w:sz="0" w:space="0" w:color="auto"/>
        <w:right w:val="none" w:sz="0" w:space="0" w:color="auto"/>
      </w:divBdr>
    </w:div>
    <w:div w:id="247857467">
      <w:bodyDiv w:val="1"/>
      <w:marLeft w:val="0"/>
      <w:marRight w:val="0"/>
      <w:marTop w:val="0"/>
      <w:marBottom w:val="0"/>
      <w:divBdr>
        <w:top w:val="none" w:sz="0" w:space="0" w:color="auto"/>
        <w:left w:val="none" w:sz="0" w:space="0" w:color="auto"/>
        <w:bottom w:val="none" w:sz="0" w:space="0" w:color="auto"/>
        <w:right w:val="none" w:sz="0" w:space="0" w:color="auto"/>
      </w:divBdr>
    </w:div>
    <w:div w:id="349373634">
      <w:bodyDiv w:val="1"/>
      <w:marLeft w:val="0"/>
      <w:marRight w:val="0"/>
      <w:marTop w:val="0"/>
      <w:marBottom w:val="0"/>
      <w:divBdr>
        <w:top w:val="none" w:sz="0" w:space="0" w:color="auto"/>
        <w:left w:val="none" w:sz="0" w:space="0" w:color="auto"/>
        <w:bottom w:val="none" w:sz="0" w:space="0" w:color="auto"/>
        <w:right w:val="none" w:sz="0" w:space="0" w:color="auto"/>
      </w:divBdr>
    </w:div>
    <w:div w:id="644552342">
      <w:bodyDiv w:val="1"/>
      <w:marLeft w:val="0"/>
      <w:marRight w:val="0"/>
      <w:marTop w:val="0"/>
      <w:marBottom w:val="0"/>
      <w:divBdr>
        <w:top w:val="none" w:sz="0" w:space="0" w:color="auto"/>
        <w:left w:val="none" w:sz="0" w:space="0" w:color="auto"/>
        <w:bottom w:val="none" w:sz="0" w:space="0" w:color="auto"/>
        <w:right w:val="none" w:sz="0" w:space="0" w:color="auto"/>
      </w:divBdr>
    </w:div>
    <w:div w:id="691999025">
      <w:bodyDiv w:val="1"/>
      <w:marLeft w:val="0"/>
      <w:marRight w:val="0"/>
      <w:marTop w:val="0"/>
      <w:marBottom w:val="0"/>
      <w:divBdr>
        <w:top w:val="none" w:sz="0" w:space="0" w:color="auto"/>
        <w:left w:val="none" w:sz="0" w:space="0" w:color="auto"/>
        <w:bottom w:val="none" w:sz="0" w:space="0" w:color="auto"/>
        <w:right w:val="none" w:sz="0" w:space="0" w:color="auto"/>
      </w:divBdr>
    </w:div>
    <w:div w:id="802381907">
      <w:bodyDiv w:val="1"/>
      <w:marLeft w:val="0"/>
      <w:marRight w:val="0"/>
      <w:marTop w:val="0"/>
      <w:marBottom w:val="0"/>
      <w:divBdr>
        <w:top w:val="none" w:sz="0" w:space="0" w:color="auto"/>
        <w:left w:val="none" w:sz="0" w:space="0" w:color="auto"/>
        <w:bottom w:val="none" w:sz="0" w:space="0" w:color="auto"/>
        <w:right w:val="none" w:sz="0" w:space="0" w:color="auto"/>
      </w:divBdr>
    </w:div>
    <w:div w:id="1012102851">
      <w:bodyDiv w:val="1"/>
      <w:marLeft w:val="0"/>
      <w:marRight w:val="0"/>
      <w:marTop w:val="0"/>
      <w:marBottom w:val="0"/>
      <w:divBdr>
        <w:top w:val="none" w:sz="0" w:space="0" w:color="auto"/>
        <w:left w:val="none" w:sz="0" w:space="0" w:color="auto"/>
        <w:bottom w:val="none" w:sz="0" w:space="0" w:color="auto"/>
        <w:right w:val="none" w:sz="0" w:space="0" w:color="auto"/>
      </w:divBdr>
    </w:div>
    <w:div w:id="1251084914">
      <w:bodyDiv w:val="1"/>
      <w:marLeft w:val="0"/>
      <w:marRight w:val="0"/>
      <w:marTop w:val="0"/>
      <w:marBottom w:val="0"/>
      <w:divBdr>
        <w:top w:val="none" w:sz="0" w:space="0" w:color="auto"/>
        <w:left w:val="none" w:sz="0" w:space="0" w:color="auto"/>
        <w:bottom w:val="none" w:sz="0" w:space="0" w:color="auto"/>
        <w:right w:val="none" w:sz="0" w:space="0" w:color="auto"/>
      </w:divBdr>
    </w:div>
    <w:div w:id="1281688256">
      <w:bodyDiv w:val="1"/>
      <w:marLeft w:val="0"/>
      <w:marRight w:val="0"/>
      <w:marTop w:val="0"/>
      <w:marBottom w:val="0"/>
      <w:divBdr>
        <w:top w:val="none" w:sz="0" w:space="0" w:color="auto"/>
        <w:left w:val="none" w:sz="0" w:space="0" w:color="auto"/>
        <w:bottom w:val="none" w:sz="0" w:space="0" w:color="auto"/>
        <w:right w:val="none" w:sz="0" w:space="0" w:color="auto"/>
      </w:divBdr>
    </w:div>
    <w:div w:id="1290866294">
      <w:bodyDiv w:val="1"/>
      <w:marLeft w:val="0"/>
      <w:marRight w:val="0"/>
      <w:marTop w:val="0"/>
      <w:marBottom w:val="0"/>
      <w:divBdr>
        <w:top w:val="none" w:sz="0" w:space="0" w:color="auto"/>
        <w:left w:val="none" w:sz="0" w:space="0" w:color="auto"/>
        <w:bottom w:val="none" w:sz="0" w:space="0" w:color="auto"/>
        <w:right w:val="none" w:sz="0" w:space="0" w:color="auto"/>
      </w:divBdr>
    </w:div>
    <w:div w:id="1300766038">
      <w:bodyDiv w:val="1"/>
      <w:marLeft w:val="0"/>
      <w:marRight w:val="0"/>
      <w:marTop w:val="0"/>
      <w:marBottom w:val="0"/>
      <w:divBdr>
        <w:top w:val="none" w:sz="0" w:space="0" w:color="auto"/>
        <w:left w:val="none" w:sz="0" w:space="0" w:color="auto"/>
        <w:bottom w:val="none" w:sz="0" w:space="0" w:color="auto"/>
        <w:right w:val="none" w:sz="0" w:space="0" w:color="auto"/>
      </w:divBdr>
    </w:div>
    <w:div w:id="1310552683">
      <w:bodyDiv w:val="1"/>
      <w:marLeft w:val="0"/>
      <w:marRight w:val="0"/>
      <w:marTop w:val="0"/>
      <w:marBottom w:val="0"/>
      <w:divBdr>
        <w:top w:val="none" w:sz="0" w:space="0" w:color="auto"/>
        <w:left w:val="none" w:sz="0" w:space="0" w:color="auto"/>
        <w:bottom w:val="none" w:sz="0" w:space="0" w:color="auto"/>
        <w:right w:val="none" w:sz="0" w:space="0" w:color="auto"/>
      </w:divBdr>
    </w:div>
    <w:div w:id="1437943097">
      <w:bodyDiv w:val="1"/>
      <w:marLeft w:val="0"/>
      <w:marRight w:val="0"/>
      <w:marTop w:val="0"/>
      <w:marBottom w:val="0"/>
      <w:divBdr>
        <w:top w:val="none" w:sz="0" w:space="0" w:color="auto"/>
        <w:left w:val="none" w:sz="0" w:space="0" w:color="auto"/>
        <w:bottom w:val="none" w:sz="0" w:space="0" w:color="auto"/>
        <w:right w:val="none" w:sz="0" w:space="0" w:color="auto"/>
      </w:divBdr>
    </w:div>
    <w:div w:id="1838374404">
      <w:bodyDiv w:val="1"/>
      <w:marLeft w:val="0"/>
      <w:marRight w:val="0"/>
      <w:marTop w:val="0"/>
      <w:marBottom w:val="0"/>
      <w:divBdr>
        <w:top w:val="none" w:sz="0" w:space="0" w:color="auto"/>
        <w:left w:val="none" w:sz="0" w:space="0" w:color="auto"/>
        <w:bottom w:val="none" w:sz="0" w:space="0" w:color="auto"/>
        <w:right w:val="none" w:sz="0" w:space="0" w:color="auto"/>
      </w:divBdr>
    </w:div>
    <w:div w:id="1904219131">
      <w:bodyDiv w:val="1"/>
      <w:marLeft w:val="0"/>
      <w:marRight w:val="0"/>
      <w:marTop w:val="0"/>
      <w:marBottom w:val="0"/>
      <w:divBdr>
        <w:top w:val="none" w:sz="0" w:space="0" w:color="auto"/>
        <w:left w:val="none" w:sz="0" w:space="0" w:color="auto"/>
        <w:bottom w:val="none" w:sz="0" w:space="0" w:color="auto"/>
        <w:right w:val="none" w:sz="0" w:space="0" w:color="auto"/>
      </w:divBdr>
    </w:div>
    <w:div w:id="2035381601">
      <w:bodyDiv w:val="1"/>
      <w:marLeft w:val="0"/>
      <w:marRight w:val="0"/>
      <w:marTop w:val="0"/>
      <w:marBottom w:val="0"/>
      <w:divBdr>
        <w:top w:val="none" w:sz="0" w:space="0" w:color="auto"/>
        <w:left w:val="none" w:sz="0" w:space="0" w:color="auto"/>
        <w:bottom w:val="none" w:sz="0" w:space="0" w:color="auto"/>
        <w:right w:val="none" w:sz="0" w:space="0" w:color="auto"/>
      </w:divBdr>
    </w:div>
    <w:div w:id="2120441825">
      <w:bodyDiv w:val="1"/>
      <w:marLeft w:val="0"/>
      <w:marRight w:val="0"/>
      <w:marTop w:val="0"/>
      <w:marBottom w:val="0"/>
      <w:divBdr>
        <w:top w:val="none" w:sz="0" w:space="0" w:color="auto"/>
        <w:left w:val="none" w:sz="0" w:space="0" w:color="auto"/>
        <w:bottom w:val="none" w:sz="0" w:space="0" w:color="auto"/>
        <w:right w:val="none" w:sz="0" w:space="0" w:color="auto"/>
      </w:divBdr>
    </w:div>
    <w:div w:id="2120905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nlc.org/real"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1.png"/><Relationship Id="rId17" Type="http://schemas.openxmlformats.org/officeDocument/2006/relationships/theme" Target="theme/theme1.xml"/><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desotodd.org" TargetMode="External"/><Relationship Id="rId32" Type="http://schemas.microsoft.com/office/2011/relationships/commentsExtended" Target="commentsExtended.xml"/><Relationship Id="rId5" Type="http://schemas.microsoft.com/office/2007/relationships/stylesWithEffects" Target="stylesWithEffects.xml"/><Relationship Id="rId15" Type="http://schemas.openxmlformats.org/officeDocument/2006/relationships/footer" Target="footer1.xml"/><Relationship Id="rId10" Type="http://schemas.openxmlformats.org/officeDocument/2006/relationships/hyperlink" Target="http://www.ci.desoto.tx.us"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ihnonline.org/resources/seminars-conferen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2015-09-24T00:00:00</PublishDate>
  <Abstract>The Task Force on Strengthening Inclusiveness in the Profession began its work in the Fall of 2014 at the ICMA Annual Conference in Charlotte, NC.  This report includes recommendations along with supportive data analysis to depict the state of Association.</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5129BBB-8463-41DF-8F0B-C698671D1A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2842</Words>
  <Characters>16204</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Task Force on Strengthening Inclusiveness in the Profession</vt:lpstr>
    </vt:vector>
  </TitlesOfParts>
  <Company/>
  <LinksUpToDate>false</LinksUpToDate>
  <CharactersWithSpaces>19008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Task Force on Strengthening Inclusiveness in the Profession</dc:title>
  <dc:subject>Analysis and Recommendations</dc:subject>
  <dc:creator>Hayward, Tansy</dc:creator>
  <cp:lastModifiedBy>Hayward, Tansy</cp:lastModifiedBy>
  <cp:revision>4</cp:revision>
  <cp:lastPrinted>2015-09-12T15:23:00Z</cp:lastPrinted>
  <dcterms:created xsi:type="dcterms:W3CDTF">2015-09-12T15:35:00Z</dcterms:created>
  <dcterms:modified xsi:type="dcterms:W3CDTF">2015-09-12T15:41:00Z</dcterms:modified>
</cp:coreProperties>
</file>